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065A4F" w14:textId="77777777" w:rsidR="008D4F0E" w:rsidRDefault="008D4F0E" w:rsidP="008D4F0E">
      <w:pPr>
        <w:jc w:val="both"/>
        <w:rPr>
          <w:rFonts w:ascii="Baskerville Old Face" w:hAnsi="Baskerville Old Face"/>
          <w:b/>
          <w:i/>
          <w:lang w:val="en-US"/>
        </w:rPr>
      </w:pPr>
      <w:r>
        <w:rPr>
          <w:rFonts w:ascii="Baskerville Old Face" w:hAnsi="Baskerville Old Face"/>
          <w:b/>
          <w:i/>
          <w:noProof/>
          <w:lang w:val="en-US"/>
        </w:rPr>
        <w:drawing>
          <wp:inline distT="0" distB="0" distL="0" distR="0" wp14:anchorId="662A93C9" wp14:editId="0A74694E">
            <wp:extent cx="5486400" cy="38717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871712"/>
                    </a:xfrm>
                    <a:prstGeom prst="rect">
                      <a:avLst/>
                    </a:prstGeom>
                    <a:noFill/>
                    <a:ln>
                      <a:noFill/>
                    </a:ln>
                  </pic:spPr>
                </pic:pic>
              </a:graphicData>
            </a:graphic>
          </wp:inline>
        </w:drawing>
      </w:r>
    </w:p>
    <w:p w14:paraId="43C36563" w14:textId="77777777" w:rsidR="008D4F0E" w:rsidRDefault="008D4F0E" w:rsidP="008D4F0E">
      <w:pPr>
        <w:jc w:val="both"/>
        <w:rPr>
          <w:rFonts w:ascii="Baskerville Old Face" w:hAnsi="Baskerville Old Face"/>
          <w:b/>
          <w:i/>
          <w:lang w:val="en-US"/>
        </w:rPr>
      </w:pPr>
    </w:p>
    <w:p w14:paraId="3A1554E4" w14:textId="77777777" w:rsidR="008D4F0E" w:rsidRDefault="008D4F0E" w:rsidP="008D4F0E">
      <w:pPr>
        <w:jc w:val="both"/>
      </w:pPr>
      <w:r>
        <w:rPr>
          <w:rFonts w:ascii="Baskerville Old Face" w:hAnsi="Baskerville Old Face"/>
          <w:b/>
          <w:i/>
          <w:lang w:val="en-US"/>
        </w:rPr>
        <w:t xml:space="preserve">Source: </w:t>
      </w:r>
      <w:r>
        <w:fldChar w:fldCharType="begin"/>
      </w:r>
      <w:r>
        <w:instrText xml:space="preserve"> ADDIN ZOTERO_ITEM CSL_CITATION {"citationID":"tj01IXsh","properties":{"formattedCitation":"{\\rtf Stanford J. Shaw and Ezel Kural Shaw, \\i History of the Ottoman Empire and Modern Turkey: Volume 2, Reform, Revolution, and Republic: The Rise of Modern Turkey 1808-1975\\i0{}, vol. 2, First Edition (Cambridge University Press, 1977).}","plainCitation":"Stanford J. Shaw and Ezel Kural Shaw, History of the Ottoman Empire and Modern Turkey: Volume 2, Reform, Revolution, and Republic: The Rise of Modern Turkey 1808-1975, vol. 2, First Edition (Cambridge University Press, 1977)."},"citationItems":[{"id":57,"uris":["http://zotero.org/users/1205741/items/9EJ6D3NQ"],"uri":["http://zotero.org/users/1205741/items/9EJ6D3NQ"],"itemData":{"id":57,"type":"book","title":"History of the Ottoman Empire and Modern Turkey: Volume 2, Reform, Revolution, and Republic: The Rise of Modern Turkey 1808-1975","publisher":"Cambridge University Press","volume":"2","number-of-pages":"548","edition":"First Edition","source":"Amazon.com","ISBN":"0521291666","shortTitle":"History of the Ottoman Empire and Modern Turkey","author":[{"family":"Shaw","given":"Stanford J."},{"family":"Shaw","given":"Ezel Kural"}],"issued":{"date-parts":[["1977"]]}}}],"schema":"https://github.com/citation-style-language/schema/raw/master/csl-citation.json"} </w:instrText>
      </w:r>
      <w:r>
        <w:fldChar w:fldCharType="separate"/>
      </w:r>
      <w:r w:rsidRPr="0037124B">
        <w:rPr>
          <w:rFonts w:ascii="Cambria"/>
        </w:rPr>
        <w:t xml:space="preserve">Stanford J. Shaw and Ezel Kural Shaw, </w:t>
      </w:r>
      <w:r w:rsidRPr="0037124B">
        <w:rPr>
          <w:rFonts w:ascii="Cambria"/>
          <w:i/>
          <w:iCs/>
        </w:rPr>
        <w:t>History of the Ottoman Empire and Modern Turkey: Volume 2, Reform, Revolution, and Republic: The Rise of Modern Turkey 1808-1975</w:t>
      </w:r>
      <w:r w:rsidRPr="0037124B">
        <w:rPr>
          <w:rFonts w:ascii="Cambria"/>
        </w:rPr>
        <w:t>, vol. 2, First Edition (Cambridge University Press, 1977).</w:t>
      </w:r>
      <w:r>
        <w:fldChar w:fldCharType="end"/>
      </w:r>
      <w:r>
        <w:t>, p. xxiv.</w:t>
      </w:r>
    </w:p>
    <w:p w14:paraId="5F668512" w14:textId="77777777" w:rsidR="008D4F0E" w:rsidRDefault="008D4F0E" w:rsidP="008D4F0E">
      <w:pPr>
        <w:jc w:val="both"/>
        <w:rPr>
          <w:rFonts w:ascii="Baskerville Old Face" w:hAnsi="Baskerville Old Face"/>
          <w:b/>
          <w:i/>
          <w:lang w:val="en-US"/>
        </w:rPr>
      </w:pPr>
    </w:p>
    <w:p w14:paraId="7B0BDFFF" w14:textId="77777777" w:rsidR="008D4F0E" w:rsidRDefault="008D4F0E" w:rsidP="008D4F0E">
      <w:pPr>
        <w:jc w:val="both"/>
        <w:rPr>
          <w:rFonts w:ascii="Baskerville Old Face" w:hAnsi="Baskerville Old Face"/>
          <w:lang w:val="en-US"/>
        </w:rPr>
      </w:pPr>
    </w:p>
    <w:p w14:paraId="119D3F63" w14:textId="77777777" w:rsidR="008D4F0E" w:rsidRDefault="008D4F0E" w:rsidP="008D4F0E">
      <w:pPr>
        <w:jc w:val="both"/>
        <w:rPr>
          <w:rFonts w:ascii="Baskerville Old Face" w:hAnsi="Baskerville Old Face"/>
          <w:lang w:val="en-US"/>
        </w:rPr>
      </w:pPr>
    </w:p>
    <w:p w14:paraId="58957548" w14:textId="77777777" w:rsidR="008D4F0E" w:rsidRPr="00E677B3" w:rsidRDefault="008D4F0E" w:rsidP="008D4F0E">
      <w:pPr>
        <w:jc w:val="both"/>
        <w:rPr>
          <w:rFonts w:ascii="Baskerville Old Face" w:hAnsi="Baskerville Old Face"/>
          <w:b/>
          <w:i/>
          <w:lang w:val="en-US"/>
        </w:rPr>
      </w:pPr>
      <w:r>
        <w:rPr>
          <w:rFonts w:ascii="Baskerville Old Face" w:hAnsi="Baskerville Old Face"/>
          <w:b/>
          <w:i/>
          <w:lang w:val="en-US"/>
        </w:rPr>
        <w:t xml:space="preserve">The </w:t>
      </w:r>
      <w:r w:rsidRPr="00E677B3">
        <w:rPr>
          <w:rFonts w:ascii="Baskerville Old Face" w:hAnsi="Baskerville Old Face"/>
          <w:b/>
          <w:i/>
          <w:lang w:val="en-US"/>
        </w:rPr>
        <w:t>Rise of Turkish Press</w:t>
      </w:r>
    </w:p>
    <w:p w14:paraId="78C12D76"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First papers to be published in the Ottoman Empire were French Embassy’s bulletins. Le </w:t>
      </w:r>
      <w:r w:rsidRPr="000B7FF5">
        <w:rPr>
          <w:rFonts w:ascii="Baskerville Old Face" w:hAnsi="Baskerville Old Face"/>
          <w:i/>
          <w:lang w:val="en-US"/>
        </w:rPr>
        <w:t>Bulletin de Nouvelles</w:t>
      </w:r>
      <w:r>
        <w:rPr>
          <w:rFonts w:ascii="Baskerville Old Face" w:hAnsi="Baskerville Old Face"/>
          <w:lang w:val="en-US"/>
        </w:rPr>
        <w:t xml:space="preserve"> (September 1795 - March 1796), </w:t>
      </w:r>
      <w:r w:rsidRPr="00A20796">
        <w:rPr>
          <w:rFonts w:ascii="Baskerville Old Face" w:hAnsi="Baskerville Old Face"/>
          <w:i/>
          <w:lang w:val="en-US"/>
        </w:rPr>
        <w:t>La Gazette Française de Constantinople</w:t>
      </w:r>
      <w:r>
        <w:rPr>
          <w:rFonts w:ascii="Baskerville Old Face" w:hAnsi="Baskerville Old Face"/>
          <w:lang w:val="en-US"/>
        </w:rPr>
        <w:t xml:space="preserve"> (May 1796 – May 1797), and </w:t>
      </w:r>
      <w:r w:rsidRPr="00950E68">
        <w:rPr>
          <w:rFonts w:ascii="Baskerville Old Face" w:hAnsi="Baskerville Old Face"/>
          <w:i/>
          <w:lang w:val="en-US"/>
        </w:rPr>
        <w:t>Mercure Oriental</w:t>
      </w:r>
      <w:r>
        <w:rPr>
          <w:rFonts w:ascii="Baskerville Old Face" w:hAnsi="Baskerville Old Face"/>
          <w:lang w:val="en-US"/>
        </w:rPr>
        <w:t xml:space="preserve"> (May 1797 – July 1797) were the three prominent bulletins. These publications addressed French citizens living in the Empire, minorities (Greek and Armenian principally), and Ottomans intellectuals, in the French language. Bulletins subsumed under the general French state policy to disseminate principles of the revolution abroad. In the specific case of the Ottoman Empire, France aimed to maintain its cultural hegemony in an era when it competed with Russian and British influences.</w:t>
      </w:r>
      <w:r w:rsidRPr="00100777">
        <w:rPr>
          <w:rStyle w:val="FootnoteReference"/>
        </w:rPr>
        <w:footnoteReference w:id="1"/>
      </w:r>
      <w:r>
        <w:rPr>
          <w:rFonts w:ascii="Baskerville Old Face" w:hAnsi="Baskerville Old Face"/>
          <w:lang w:val="en-US"/>
        </w:rPr>
        <w:t xml:space="preserve"> Bulletins reached populations of the cities that hosted French embassies, i.e. Smyrna, Salonika, Mora, Crete, Rhodes, Cyprus, Baghdad, Aleppo, Damascus, Sidon and </w:t>
      </w:r>
      <w:r>
        <w:rPr>
          <w:rFonts w:ascii="Baskerville Old Face" w:hAnsi="Baskerville Old Face"/>
          <w:lang w:val="en-US"/>
        </w:rPr>
        <w:lastRenderedPageBreak/>
        <w:t>Alexandria.</w:t>
      </w:r>
      <w:r w:rsidRPr="00100777">
        <w:rPr>
          <w:rStyle w:val="FootnoteReference"/>
        </w:rPr>
        <w:footnoteReference w:id="2"/>
      </w:r>
      <w:r>
        <w:rPr>
          <w:rFonts w:ascii="Baskerville Old Face" w:hAnsi="Baskerville Old Face"/>
          <w:lang w:val="en-US"/>
        </w:rPr>
        <w:t xml:space="preserve"> It follows that revolutionary ideas spread across urbanized areas and ports, rather than rural regions of Anatolia.  </w:t>
      </w:r>
    </w:p>
    <w:p w14:paraId="25F9EDB2" w14:textId="77777777" w:rsidR="008D4F0E" w:rsidRDefault="008D4F0E" w:rsidP="008D4F0E">
      <w:pPr>
        <w:jc w:val="both"/>
        <w:rPr>
          <w:rFonts w:ascii="Baskerville Old Face" w:hAnsi="Baskerville Old Face"/>
          <w:lang w:val="en-US"/>
        </w:rPr>
      </w:pPr>
    </w:p>
    <w:p w14:paraId="002099D0" w14:textId="77777777" w:rsidR="008D4F0E" w:rsidRDefault="008D4F0E" w:rsidP="008D4F0E">
      <w:pPr>
        <w:jc w:val="both"/>
        <w:rPr>
          <w:rFonts w:ascii="Baskerville Old Face" w:hAnsi="Baskerville Old Face"/>
          <w:lang w:val="en-US"/>
        </w:rPr>
      </w:pPr>
      <w:r>
        <w:rPr>
          <w:rFonts w:ascii="Baskerville Old Face" w:hAnsi="Baskerville Old Face"/>
          <w:lang w:val="en-US"/>
        </w:rPr>
        <w:t>Almost all Ottoman intellectuals and literate minority citizens of the Empire were schooled in this language (some also had studied in France). It can be inferred that bulletins achieved their objectives. However, different groups took different elements away from the legacies of the French Revolution. Equal citizenship and fraternity manifest themselves in Young Ottomans’ writings and demands for constitutional parliamentarianism, as of the 1830s, which I will elaborate on below. Minorities were more receptive to the liberty principle, as observed in the rise of nationalist movements among the Serbs, Greeks, Macedonians, Bulgarians etc.</w:t>
      </w:r>
      <w:r w:rsidRPr="00100777">
        <w:rPr>
          <w:rStyle w:val="FootnoteReference"/>
        </w:rPr>
        <w:footnoteReference w:id="3"/>
      </w:r>
      <w:r>
        <w:rPr>
          <w:rFonts w:ascii="Baskerville Old Face" w:hAnsi="Baskerville Old Face"/>
          <w:lang w:val="en-US"/>
        </w:rPr>
        <w:t xml:space="preserve"> </w:t>
      </w:r>
    </w:p>
    <w:p w14:paraId="7DB9735C" w14:textId="77777777" w:rsidR="008D4F0E" w:rsidRDefault="008D4F0E" w:rsidP="008D4F0E">
      <w:pPr>
        <w:jc w:val="both"/>
        <w:rPr>
          <w:rFonts w:ascii="Baskerville Old Face" w:hAnsi="Baskerville Old Face"/>
          <w:lang w:val="en-US"/>
        </w:rPr>
      </w:pPr>
    </w:p>
    <w:p w14:paraId="4E8B9678" w14:textId="77777777" w:rsidR="008D4F0E" w:rsidRDefault="008D4F0E" w:rsidP="008D4F0E">
      <w:pPr>
        <w:widowControl w:val="0"/>
        <w:autoSpaceDE w:val="0"/>
        <w:autoSpaceDN w:val="0"/>
        <w:adjustRightInd w:val="0"/>
        <w:spacing w:after="240"/>
        <w:jc w:val="both"/>
        <w:rPr>
          <w:rFonts w:ascii="Times" w:hAnsi="Times" w:cs="Times"/>
          <w:lang w:val="en-US"/>
        </w:rPr>
      </w:pPr>
      <w:r>
        <w:rPr>
          <w:rFonts w:ascii="Baskerville Old Face" w:hAnsi="Baskerville Old Face"/>
          <w:lang w:val="en-US"/>
        </w:rPr>
        <w:t xml:space="preserve">The first non-official paper initiative came from Charles Tricon in January 1824. Tricon, a tradesman living in Izmir  (Smyrna), published </w:t>
      </w:r>
      <w:r w:rsidRPr="00561BFB">
        <w:rPr>
          <w:rFonts w:ascii="Baskerville Old Face" w:hAnsi="Baskerville Old Face"/>
          <w:i/>
          <w:lang w:val="en-US"/>
        </w:rPr>
        <w:t>Le Smyreen</w:t>
      </w:r>
      <w:r>
        <w:rPr>
          <w:rFonts w:ascii="Baskerville Old Face" w:hAnsi="Baskerville Old Face"/>
          <w:lang w:val="en-US"/>
        </w:rPr>
        <w:t xml:space="preserve"> in French to inform the French and French speaking population about political developments in France that affected commerce. Due to financial difficulties, he handed the paper over to another French merchant, Monsieur Roux. Under Roux’s editorship, </w:t>
      </w:r>
      <w:r w:rsidRPr="00561BFB">
        <w:rPr>
          <w:rFonts w:ascii="Baskerville Old Face" w:hAnsi="Baskerville Old Face"/>
          <w:i/>
          <w:lang w:val="en-US"/>
        </w:rPr>
        <w:t>Le Smyr</w:t>
      </w:r>
      <w:r>
        <w:rPr>
          <w:rFonts w:ascii="Baskerville Old Face" w:hAnsi="Baskerville Old Face"/>
          <w:i/>
          <w:lang w:val="en-US"/>
        </w:rPr>
        <w:t>é</w:t>
      </w:r>
      <w:r w:rsidRPr="00561BFB">
        <w:rPr>
          <w:rFonts w:ascii="Baskerville Old Face" w:hAnsi="Baskerville Old Face"/>
          <w:i/>
          <w:lang w:val="en-US"/>
        </w:rPr>
        <w:t>en</w:t>
      </w:r>
      <w:r>
        <w:rPr>
          <w:rFonts w:ascii="Baskerville Old Face" w:hAnsi="Baskerville Old Face"/>
          <w:lang w:val="en-US"/>
        </w:rPr>
        <w:t xml:space="preserve"> supported Greek independence, an attitude that contrasted with France’s pro-Ottoman foreign policy. The French Embassy pressured the paper into publishing an apologetical article. </w:t>
      </w:r>
      <w:r w:rsidRPr="00561BFB">
        <w:rPr>
          <w:rFonts w:ascii="Baskerville Old Face" w:hAnsi="Baskerville Old Face"/>
          <w:i/>
          <w:lang w:val="en-US"/>
        </w:rPr>
        <w:t>Le Smyr</w:t>
      </w:r>
      <w:r>
        <w:rPr>
          <w:rFonts w:ascii="Baskerville Old Face" w:hAnsi="Baskerville Old Face"/>
          <w:i/>
          <w:lang w:val="en-US"/>
        </w:rPr>
        <w:t>é</w:t>
      </w:r>
      <w:r w:rsidRPr="00561BFB">
        <w:rPr>
          <w:rFonts w:ascii="Baskerville Old Face" w:hAnsi="Baskerville Old Face"/>
          <w:i/>
          <w:lang w:val="en-US"/>
        </w:rPr>
        <w:t>en</w:t>
      </w:r>
      <w:r>
        <w:rPr>
          <w:rFonts w:ascii="Baskerville Old Face" w:hAnsi="Baskerville Old Face"/>
          <w:lang w:val="en-US"/>
        </w:rPr>
        <w:t xml:space="preserve"> was renamed as </w:t>
      </w:r>
      <w:r w:rsidRPr="00B42538">
        <w:rPr>
          <w:rFonts w:ascii="Baskerville Old Face" w:hAnsi="Baskerville Old Face"/>
          <w:i/>
          <w:lang w:val="en-US"/>
        </w:rPr>
        <w:t>Spectateur de l’Orient</w:t>
      </w:r>
      <w:r>
        <w:rPr>
          <w:rFonts w:ascii="Baskerville Old Face" w:hAnsi="Baskerville Old Face"/>
          <w:i/>
          <w:lang w:val="en-US"/>
        </w:rPr>
        <w:t xml:space="preserve"> (</w:t>
      </w:r>
      <w:r w:rsidRPr="007D32CF">
        <w:rPr>
          <w:rFonts w:ascii="Baskerville Old Face" w:hAnsi="Baskerville Old Face"/>
          <w:lang w:val="en-US"/>
        </w:rPr>
        <w:t xml:space="preserve">later </w:t>
      </w:r>
      <w:r>
        <w:rPr>
          <w:rFonts w:ascii="Baskerville Old Face" w:hAnsi="Baskerville Old Face"/>
          <w:i/>
          <w:lang w:val="en-US"/>
        </w:rPr>
        <w:t>Courrier de Smyrne</w:t>
      </w:r>
      <w:r w:rsidRPr="007D32CF">
        <w:rPr>
          <w:rFonts w:ascii="Baskerville Old Face" w:hAnsi="Baskerville Old Face"/>
          <w:lang w:val="en-US"/>
        </w:rPr>
        <w:t>)</w:t>
      </w:r>
      <w:r>
        <w:rPr>
          <w:rFonts w:ascii="Baskerville Old Face" w:hAnsi="Baskerville Old Face"/>
          <w:lang w:val="en-US"/>
        </w:rPr>
        <w:t xml:space="preserve"> in 1825. Under Alexandre Blacque’s editorship, the paper opposed the Greek independence, following the official foreign policy line. French businessmen and their trade partners had interests in securing the ambassadorial support. The French Embassy in Izmir and </w:t>
      </w:r>
      <w:r w:rsidRPr="00B42538">
        <w:rPr>
          <w:rFonts w:ascii="Baskerville Old Face" w:hAnsi="Baskerville Old Face"/>
          <w:i/>
          <w:lang w:val="en-US"/>
        </w:rPr>
        <w:t>Spectateur de l’Orient</w:t>
      </w:r>
      <w:r>
        <w:rPr>
          <w:rFonts w:ascii="Baskerville Old Face" w:hAnsi="Baskerville Old Face"/>
          <w:i/>
          <w:lang w:val="en-US"/>
        </w:rPr>
        <w:t xml:space="preserve"> </w:t>
      </w:r>
      <w:r>
        <w:rPr>
          <w:rFonts w:ascii="Baskerville Old Face" w:hAnsi="Baskerville Old Face"/>
          <w:lang w:val="en-US"/>
        </w:rPr>
        <w:t>closed down, after France sank Ottoman ships in 1827.</w:t>
      </w:r>
      <w:r w:rsidRPr="00100777">
        <w:rPr>
          <w:rStyle w:val="FootnoteReference"/>
        </w:rPr>
        <w:footnoteReference w:id="4"/>
      </w:r>
      <w:r>
        <w:rPr>
          <w:rFonts w:ascii="Baskerville Old Face" w:hAnsi="Baskerville Old Face"/>
          <w:lang w:val="en-US"/>
        </w:rPr>
        <w:t xml:space="preserve"> On the other hand, Blacque’s pro-Ottoman stance encouraged the </w:t>
      </w:r>
      <w:r w:rsidRPr="006578E7">
        <w:rPr>
          <w:rFonts w:ascii="Baskerville Old Face" w:hAnsi="Baskerville Old Face"/>
          <w:lang w:val="en-US"/>
        </w:rPr>
        <w:t xml:space="preserve">Porte </w:t>
      </w:r>
      <w:r>
        <w:rPr>
          <w:rFonts w:ascii="Baskerville Old Face" w:hAnsi="Baskerville Old Face"/>
          <w:lang w:val="en-US"/>
        </w:rPr>
        <w:t xml:space="preserve">to assign this journalist to the task of publishing an official paper, in Istanbul, to defend Ottoman interests. </w:t>
      </w:r>
      <w:r w:rsidRPr="00A562DE">
        <w:rPr>
          <w:rFonts w:ascii="Baskerville Old Face" w:hAnsi="Baskerville Old Face"/>
          <w:lang w:val="en-US"/>
        </w:rPr>
        <w:t>Moniteur Ottoman</w:t>
      </w:r>
      <w:r>
        <w:rPr>
          <w:rFonts w:ascii="Baskerville Old Face" w:hAnsi="Baskerville Old Face"/>
          <w:lang w:val="en-US"/>
        </w:rPr>
        <w:t xml:space="preserve"> appeared in French, in 1831. T</w:t>
      </w:r>
      <w:r w:rsidRPr="00A562DE">
        <w:rPr>
          <w:rFonts w:ascii="Baskerville Old Face" w:hAnsi="Baskerville Old Face"/>
          <w:lang w:val="en-US"/>
        </w:rPr>
        <w:t>he French version, the Moniteur Ottoman, was issued periodically to pr</w:t>
      </w:r>
      <w:r>
        <w:rPr>
          <w:rFonts w:ascii="Baskerville Old Face" w:hAnsi="Baskerville Old Face"/>
          <w:lang w:val="en-US"/>
        </w:rPr>
        <w:t>ovide news of interest to Euro</w:t>
      </w:r>
      <w:r w:rsidRPr="00A562DE">
        <w:rPr>
          <w:rFonts w:ascii="Baskerville Old Face" w:hAnsi="Baskerville Old Face"/>
          <w:lang w:val="en-US"/>
        </w:rPr>
        <w:t>peans resident in the empire.91 Even though no more than 5000 copies of the former and 300 of the latter were printed and their circulation was limited to high officials and foreign embassies, their readership and impact were much wider and the way was opened for the development of a substantial Ottoman press in subse- quent years.</w:t>
      </w:r>
      <w:r w:rsidRPr="00A562DE">
        <w:rPr>
          <w:rFonts w:ascii="Baskerville Old Face" w:hAnsi="Baskerville Old Face"/>
          <w:lang w:val="en-US"/>
        </w:rPr>
        <w:footnoteReference w:id="5"/>
      </w:r>
    </w:p>
    <w:p w14:paraId="5C18602B" w14:textId="77777777" w:rsidR="008D4F0E" w:rsidRDefault="008D4F0E" w:rsidP="008D4F0E">
      <w:pPr>
        <w:jc w:val="both"/>
        <w:rPr>
          <w:rFonts w:ascii="Baskerville Old Face" w:hAnsi="Baskerville Old Face"/>
          <w:lang w:val="en-US"/>
        </w:rPr>
      </w:pPr>
    </w:p>
    <w:p w14:paraId="2E2E4503" w14:textId="77777777" w:rsidR="008D4F0E" w:rsidRDefault="008D4F0E" w:rsidP="008D4F0E">
      <w:pPr>
        <w:jc w:val="both"/>
        <w:rPr>
          <w:rFonts w:ascii="Baskerville Old Face" w:hAnsi="Baskerville Old Face"/>
          <w:lang w:val="en-US"/>
        </w:rPr>
      </w:pPr>
    </w:p>
    <w:p w14:paraId="401A5370" w14:textId="77777777" w:rsidR="008D4F0E" w:rsidRDefault="008D4F0E" w:rsidP="008D4F0E">
      <w:pPr>
        <w:jc w:val="both"/>
        <w:rPr>
          <w:rFonts w:ascii="Baskerville Old Face" w:hAnsi="Baskerville Old Face"/>
          <w:lang w:val="en-US"/>
        </w:rPr>
      </w:pPr>
      <w:r>
        <w:rPr>
          <w:rFonts w:ascii="Baskerville Old Face" w:hAnsi="Baskerville Old Face"/>
          <w:lang w:val="en-US"/>
        </w:rPr>
        <w:t>Sultan Mahm</w:t>
      </w:r>
      <w:r w:rsidRPr="00746754">
        <w:rPr>
          <w:rFonts w:ascii="Baskerville Old Face" w:hAnsi="Baskerville Old Face"/>
          <w:lang w:val="en-US"/>
        </w:rPr>
        <w:t>ud II</w:t>
      </w:r>
      <w:r w:rsidRPr="00C7479A">
        <w:rPr>
          <w:rFonts w:ascii="Baskerville Old Face" w:hAnsi="Baskerville Old Face"/>
          <w:lang w:val="en-US"/>
        </w:rPr>
        <w:t xml:space="preserve"> was a </w:t>
      </w:r>
      <w:r>
        <w:rPr>
          <w:rFonts w:ascii="Baskerville Old Face" w:hAnsi="Baskerville Old Face"/>
          <w:lang w:val="en-US"/>
        </w:rPr>
        <w:t xml:space="preserve">reformist who was aware that vested interests strongly opposed reforms. The dethronement of Selim III had taught him that he needed to build domestic and foreign alliances to curb the opposition. Printed press offered him the perfect means to shape opinions. </w:t>
      </w:r>
      <w:r w:rsidRPr="008D4F0E">
        <w:rPr>
          <w:rFonts w:ascii="Baskerville Old Face" w:hAnsi="Baskerville Old Face"/>
          <w:lang w:val="en-US"/>
        </w:rPr>
        <w:t xml:space="preserve">Moniteur Ottoman would convey the Sultan’s views to European states. The Sultan established </w:t>
      </w:r>
      <w:r w:rsidRPr="008D4F0E">
        <w:rPr>
          <w:rFonts w:ascii="Baskerville Old Face" w:hAnsi="Baskerville Old Face"/>
          <w:i/>
          <w:lang w:val="en-US"/>
        </w:rPr>
        <w:t>Takvim-i Vekayi</w:t>
      </w:r>
      <w:r w:rsidRPr="008D4F0E">
        <w:rPr>
          <w:rFonts w:ascii="Baskerville Old Face" w:hAnsi="Baskerville Old Face"/>
          <w:lang w:val="en-US"/>
        </w:rPr>
        <w:t xml:space="preserve"> (the calendar of events) to communicate with Ottoman civil servants in Turkish. The paper came about</w:t>
      </w:r>
      <w:r>
        <w:rPr>
          <w:rFonts w:ascii="Baskerville Old Face" w:hAnsi="Baskerville Old Face"/>
          <w:lang w:val="en-US"/>
        </w:rPr>
        <w:t xml:space="preserve"> on </w:t>
      </w:r>
      <w:r w:rsidRPr="00746754">
        <w:rPr>
          <w:rFonts w:ascii="Baskerville Old Face" w:hAnsi="Baskerville Old Face"/>
          <w:lang w:val="en-US"/>
        </w:rPr>
        <w:t xml:space="preserve">November </w:t>
      </w:r>
      <w:r>
        <w:rPr>
          <w:rFonts w:ascii="Baskerville Old Face" w:hAnsi="Baskerville Old Face"/>
          <w:lang w:val="en-US"/>
        </w:rPr>
        <w:t xml:space="preserve">1, </w:t>
      </w:r>
      <w:r w:rsidRPr="00746754">
        <w:rPr>
          <w:rFonts w:ascii="Baskerville Old Face" w:hAnsi="Baskerville Old Face"/>
          <w:lang w:val="en-US"/>
        </w:rPr>
        <w:t>1831</w:t>
      </w:r>
      <w:r>
        <w:rPr>
          <w:rFonts w:ascii="Baskerville Old Face" w:hAnsi="Baskerville Old Face"/>
          <w:lang w:val="en-US"/>
        </w:rPr>
        <w:t>. The state distributed the 5000 copies of the paper to all state officials, people of learning, notables in the capital and in provinces, foreign ambassadors and ministers.</w:t>
      </w:r>
      <w:r w:rsidRPr="00100777">
        <w:rPr>
          <w:rStyle w:val="FootnoteReference"/>
        </w:rPr>
        <w:footnoteReference w:id="6"/>
      </w:r>
      <w:r>
        <w:rPr>
          <w:rFonts w:ascii="Baskerville Old Face" w:hAnsi="Baskerville Old Face"/>
          <w:lang w:val="en-US"/>
        </w:rPr>
        <w:t xml:space="preserve"> The paper appeared in </w:t>
      </w:r>
      <w:r w:rsidRPr="00746754">
        <w:rPr>
          <w:rFonts w:ascii="Baskerville Old Face" w:hAnsi="Baskerville Old Face"/>
          <w:lang w:val="en-US"/>
        </w:rPr>
        <w:t xml:space="preserve">French, Arabic, Greek and Armenian </w:t>
      </w:r>
      <w:r>
        <w:rPr>
          <w:rFonts w:ascii="Baskerville Old Face" w:hAnsi="Baskerville Old Face"/>
          <w:lang w:val="en-US"/>
        </w:rPr>
        <w:t>under the same name to reach minorities.</w:t>
      </w:r>
      <w:r w:rsidRPr="00100777">
        <w:rPr>
          <w:rStyle w:val="FootnoteReference"/>
        </w:rPr>
        <w:footnoteReference w:id="7"/>
      </w:r>
      <w:r>
        <w:rPr>
          <w:rFonts w:ascii="Baskerville Old Face" w:hAnsi="Baskerville Old Face"/>
          <w:lang w:val="en-US"/>
        </w:rPr>
        <w:t xml:space="preserve"> Yet, the coverage of the paper differed as to the target group.</w:t>
      </w:r>
    </w:p>
    <w:p w14:paraId="4CFFD73D" w14:textId="77777777" w:rsidR="008D4F0E" w:rsidRDefault="008D4F0E" w:rsidP="008D4F0E">
      <w:pPr>
        <w:jc w:val="both"/>
        <w:rPr>
          <w:rFonts w:ascii="Baskerville Old Face" w:hAnsi="Baskerville Old Face"/>
          <w:lang w:val="en-US"/>
        </w:rPr>
      </w:pPr>
    </w:p>
    <w:p w14:paraId="0DF11A0D" w14:textId="77777777" w:rsidR="008D4F0E" w:rsidRDefault="008D4F0E" w:rsidP="008D4F0E">
      <w:pPr>
        <w:jc w:val="both"/>
        <w:rPr>
          <w:rFonts w:ascii="Baskerville Old Face" w:hAnsi="Baskerville Old Face"/>
          <w:lang w:val="en-US"/>
        </w:rPr>
      </w:pPr>
      <w:r w:rsidRPr="00C919B0">
        <w:rPr>
          <w:rFonts w:ascii="Baskerville Old Face" w:hAnsi="Baskerville Old Face"/>
          <w:lang w:val="en-US"/>
        </w:rPr>
        <w:t>Takvim-i Vekayi</w:t>
      </w:r>
      <w:r>
        <w:rPr>
          <w:rFonts w:ascii="Baskerville Old Face" w:hAnsi="Baskerville Old Face"/>
          <w:lang w:val="en-US"/>
        </w:rPr>
        <w:t xml:space="preserve"> began </w:t>
      </w:r>
      <w:r w:rsidRPr="00746754">
        <w:rPr>
          <w:rFonts w:ascii="Baskerville Old Face" w:hAnsi="Baskerville Old Face"/>
          <w:lang w:val="en-US"/>
        </w:rPr>
        <w:t>as a weekly</w:t>
      </w:r>
      <w:r>
        <w:rPr>
          <w:rFonts w:ascii="Baskerville Old Face" w:hAnsi="Baskerville Old Face"/>
          <w:lang w:val="en-US"/>
        </w:rPr>
        <w:t xml:space="preserve">, </w:t>
      </w:r>
      <w:r w:rsidRPr="00746754">
        <w:rPr>
          <w:rFonts w:ascii="Baskerville Old Face" w:hAnsi="Baskerville Old Face"/>
          <w:lang w:val="en-US"/>
        </w:rPr>
        <w:t xml:space="preserve">but </w:t>
      </w:r>
      <w:r>
        <w:rPr>
          <w:rFonts w:ascii="Baskerville Old Face" w:hAnsi="Baskerville Old Face"/>
          <w:lang w:val="en-US"/>
        </w:rPr>
        <w:t xml:space="preserve">its publication </w:t>
      </w:r>
      <w:r w:rsidRPr="00746754">
        <w:rPr>
          <w:rFonts w:ascii="Baskerville Old Face" w:hAnsi="Baskerville Old Face"/>
          <w:lang w:val="en-US"/>
        </w:rPr>
        <w:t xml:space="preserve">became irregular </w:t>
      </w:r>
      <w:r>
        <w:rPr>
          <w:rFonts w:ascii="Baskerville Old Face" w:hAnsi="Baskerville Old Face"/>
          <w:lang w:val="en-US"/>
        </w:rPr>
        <w:t xml:space="preserve">due to changes in state policy. Under Mahmut II’s reign, the paper treated </w:t>
      </w:r>
      <w:r w:rsidRPr="00746754">
        <w:rPr>
          <w:rFonts w:ascii="Baskerville Old Face" w:hAnsi="Baskerville Old Face"/>
          <w:lang w:val="en-US"/>
        </w:rPr>
        <w:t xml:space="preserve">domestic </w:t>
      </w:r>
      <w:r>
        <w:rPr>
          <w:rFonts w:ascii="Baskerville Old Face" w:hAnsi="Baskerville Old Face"/>
          <w:lang w:val="en-US"/>
        </w:rPr>
        <w:t xml:space="preserve">and </w:t>
      </w:r>
      <w:r w:rsidRPr="00746754">
        <w:rPr>
          <w:rFonts w:ascii="Baskerville Old Face" w:hAnsi="Baskerville Old Face"/>
          <w:lang w:val="en-US"/>
        </w:rPr>
        <w:t xml:space="preserve">foreign </w:t>
      </w:r>
      <w:r>
        <w:rPr>
          <w:rFonts w:ascii="Baskerville Old Face" w:hAnsi="Baskerville Old Face"/>
          <w:lang w:val="en-US"/>
        </w:rPr>
        <w:t>politics</w:t>
      </w:r>
      <w:r w:rsidRPr="00746754">
        <w:rPr>
          <w:rFonts w:ascii="Baskerville Old Face" w:hAnsi="Baskerville Old Face"/>
          <w:lang w:val="en-US"/>
        </w:rPr>
        <w:t xml:space="preserve">, </w:t>
      </w:r>
      <w:r>
        <w:rPr>
          <w:rFonts w:ascii="Baskerville Old Face" w:hAnsi="Baskerville Old Face"/>
          <w:lang w:val="en-US"/>
        </w:rPr>
        <w:t xml:space="preserve">including </w:t>
      </w:r>
      <w:r w:rsidRPr="00746754">
        <w:rPr>
          <w:rFonts w:ascii="Baskerville Old Face" w:hAnsi="Baskerville Old Face"/>
          <w:lang w:val="en-US"/>
        </w:rPr>
        <w:t xml:space="preserve">military affairs, science, appointments of theologians, and </w:t>
      </w:r>
      <w:r>
        <w:rPr>
          <w:rFonts w:ascii="Baskerville Old Face" w:hAnsi="Baskerville Old Face"/>
          <w:lang w:val="en-US"/>
        </w:rPr>
        <w:t xml:space="preserve">the economy. The objective was to inform the readership about current events, as well as to explain them the reasons behind policy decisions. The paper’s coverage narrowed down to </w:t>
      </w:r>
      <w:r w:rsidRPr="00746754">
        <w:rPr>
          <w:rFonts w:ascii="Baskerville Old Face" w:hAnsi="Baskerville Old Face"/>
          <w:lang w:val="en-US"/>
        </w:rPr>
        <w:t>official regulations and announcements</w:t>
      </w:r>
      <w:r>
        <w:rPr>
          <w:rFonts w:ascii="Baskerville Old Face" w:hAnsi="Baskerville Old Face"/>
          <w:lang w:val="en-US"/>
        </w:rPr>
        <w:t>, b</w:t>
      </w:r>
      <w:r w:rsidRPr="00746754">
        <w:rPr>
          <w:rFonts w:ascii="Baskerville Old Face" w:hAnsi="Baskerville Old Face"/>
          <w:lang w:val="en-US"/>
        </w:rPr>
        <w:t>etween 1860 and 1878</w:t>
      </w:r>
      <w:r>
        <w:rPr>
          <w:rFonts w:ascii="Baskerville Old Face" w:hAnsi="Baskerville Old Face"/>
          <w:lang w:val="en-US"/>
        </w:rPr>
        <w:t>. In this period,</w:t>
      </w:r>
      <w:r w:rsidRPr="00746754">
        <w:rPr>
          <w:rFonts w:ascii="Baskerville Old Face" w:hAnsi="Baskerville Old Face"/>
          <w:lang w:val="en-US"/>
        </w:rPr>
        <w:t xml:space="preserve"> </w:t>
      </w:r>
      <w:r>
        <w:rPr>
          <w:rFonts w:ascii="Baskerville Old Face" w:hAnsi="Baskerville Old Face"/>
          <w:lang w:val="en-US"/>
        </w:rPr>
        <w:t>independent papers came about</w:t>
      </w:r>
      <w:r w:rsidRPr="00746754">
        <w:rPr>
          <w:rFonts w:ascii="Baskerville Old Face" w:hAnsi="Baskerville Old Face"/>
          <w:lang w:val="en-US"/>
        </w:rPr>
        <w:t>.</w:t>
      </w:r>
      <w:r>
        <w:rPr>
          <w:rFonts w:ascii="Baskerville Old Face" w:hAnsi="Baskerville Old Face"/>
          <w:lang w:val="en-US"/>
        </w:rPr>
        <w:t xml:space="preserve"> </w:t>
      </w:r>
      <w:r w:rsidRPr="00C919B0">
        <w:rPr>
          <w:rFonts w:ascii="Baskerville Old Face" w:hAnsi="Baskerville Old Face"/>
          <w:lang w:val="en-US"/>
        </w:rPr>
        <w:t>Takvim-i Vekayi</w:t>
      </w:r>
      <w:r>
        <w:rPr>
          <w:rFonts w:ascii="Baskerville Old Face" w:hAnsi="Baskerville Old Face"/>
          <w:lang w:val="en-US"/>
        </w:rPr>
        <w:t xml:space="preserve"> </w:t>
      </w:r>
      <w:r w:rsidRPr="00746754">
        <w:rPr>
          <w:rFonts w:ascii="Baskerville Old Face" w:hAnsi="Baskerville Old Face"/>
          <w:lang w:val="en-US"/>
        </w:rPr>
        <w:t>ceased from 1878 to 1891. In 1892, Sultan Abdulhamid closed the paper down.</w:t>
      </w:r>
      <w:r>
        <w:rPr>
          <w:rFonts w:ascii="Baskerville Old Face" w:hAnsi="Baskerville Old Face"/>
          <w:lang w:val="en-US"/>
        </w:rPr>
        <w:t xml:space="preserve"> The paper </w:t>
      </w:r>
      <w:r w:rsidRPr="00746754">
        <w:rPr>
          <w:rFonts w:ascii="Baskerville Old Face" w:hAnsi="Baskerville Old Face"/>
          <w:lang w:val="en-US"/>
        </w:rPr>
        <w:t>reappeared</w:t>
      </w:r>
      <w:r>
        <w:rPr>
          <w:rFonts w:ascii="Baskerville Old Face" w:hAnsi="Baskerville Old Face"/>
          <w:lang w:val="en-US"/>
        </w:rPr>
        <w:t xml:space="preserve"> a</w:t>
      </w:r>
      <w:r w:rsidRPr="00746754">
        <w:rPr>
          <w:rFonts w:ascii="Baskerville Old Face" w:hAnsi="Baskerville Old Face"/>
          <w:lang w:val="en-US"/>
        </w:rPr>
        <w:t>fter the declaration of the second co</w:t>
      </w:r>
      <w:r>
        <w:rPr>
          <w:rFonts w:ascii="Baskerville Old Face" w:hAnsi="Baskerville Old Face"/>
          <w:lang w:val="en-US"/>
        </w:rPr>
        <w:t>nstitutional government in 1908</w:t>
      </w:r>
      <w:r w:rsidRPr="00746754">
        <w:rPr>
          <w:rFonts w:ascii="Baskerville Old Face" w:hAnsi="Baskerville Old Face"/>
          <w:lang w:val="en-US"/>
        </w:rPr>
        <w:t xml:space="preserve">. </w:t>
      </w:r>
      <w:r>
        <w:rPr>
          <w:rFonts w:ascii="Baskerville Old Face" w:hAnsi="Baskerville Old Face"/>
          <w:lang w:val="en-US"/>
        </w:rPr>
        <w:t xml:space="preserve">It </w:t>
      </w:r>
      <w:r w:rsidRPr="00746754">
        <w:rPr>
          <w:rFonts w:ascii="Baskerville Old Face" w:hAnsi="Baskerville Old Face"/>
          <w:lang w:val="en-US"/>
        </w:rPr>
        <w:t xml:space="preserve">discontinued by the end of the Independence War in </w:t>
      </w:r>
      <w:r>
        <w:rPr>
          <w:rFonts w:ascii="Baskerville Old Face" w:hAnsi="Baskerville Old Face"/>
          <w:lang w:val="en-US"/>
        </w:rPr>
        <w:t xml:space="preserve">November </w:t>
      </w:r>
      <w:r w:rsidRPr="00746754">
        <w:rPr>
          <w:rFonts w:ascii="Baskerville Old Face" w:hAnsi="Baskerville Old Face"/>
          <w:lang w:val="en-US"/>
        </w:rPr>
        <w:t>1922.</w:t>
      </w:r>
      <w:r>
        <w:rPr>
          <w:rFonts w:ascii="Baskerville Old Face" w:hAnsi="Baskerville Old Face"/>
          <w:lang w:val="en-US"/>
        </w:rPr>
        <w:t xml:space="preserve"> The reversal of attitude towards the official and non-official press reflects the Porte’s disappointment with reforms and doubts about minorities. In the second half of the 19</w:t>
      </w:r>
      <w:r w:rsidRPr="00742B56">
        <w:rPr>
          <w:rFonts w:ascii="Baskerville Old Face" w:hAnsi="Baskerville Old Face"/>
          <w:vertAlign w:val="superscript"/>
          <w:lang w:val="en-US"/>
        </w:rPr>
        <w:t>th</w:t>
      </w:r>
      <w:r>
        <w:rPr>
          <w:rFonts w:ascii="Baskerville Old Face" w:hAnsi="Baskerville Old Face"/>
          <w:lang w:val="en-US"/>
        </w:rPr>
        <w:t xml:space="preserve"> century, the government no longer saw the press as an effective means to reach peoples and shape their opinion. That was partly because some segments of the population were no longer receptive to the government’s messages. To the minorities that were pursuing independence, the Empire appeared as an obstacle on the way. By contrast, Young Ottomans sincerely believed that the empire could be saved through reforms. They tried to disseminate reformist ideas through independent papers. Their endeavors met state oppression, because the Porte no longer believed that modernization could save the Empire. </w:t>
      </w:r>
    </w:p>
    <w:p w14:paraId="758124DC" w14:textId="77777777" w:rsidR="008D4F0E" w:rsidRDefault="008D4F0E" w:rsidP="008D4F0E">
      <w:pPr>
        <w:jc w:val="both"/>
        <w:rPr>
          <w:rFonts w:ascii="Baskerville Old Face" w:hAnsi="Baskerville Old Face"/>
          <w:lang w:val="en-US"/>
        </w:rPr>
      </w:pPr>
    </w:p>
    <w:p w14:paraId="766FF857" w14:textId="77777777" w:rsidR="008D4F0E" w:rsidRPr="000C0909" w:rsidRDefault="008D4F0E" w:rsidP="008D4F0E">
      <w:pPr>
        <w:jc w:val="both"/>
        <w:rPr>
          <w:rFonts w:ascii="Baskerville Old Face" w:hAnsi="Baskerville Old Face"/>
          <w:lang w:val="en-US"/>
        </w:rPr>
      </w:pPr>
      <w:r>
        <w:rPr>
          <w:rFonts w:ascii="Baskerville Old Face" w:hAnsi="Baskerville Old Face"/>
          <w:lang w:val="en-US"/>
        </w:rPr>
        <w:t xml:space="preserve">By contrast, governors of autonomous regions encouraged press. The first ‘Ottoman’ paper, </w:t>
      </w:r>
      <w:r w:rsidRPr="00826021">
        <w:rPr>
          <w:rFonts w:ascii="Baskerville Old Face" w:hAnsi="Baskerville Old Face"/>
          <w:i/>
          <w:lang w:val="en-US"/>
        </w:rPr>
        <w:t>Vekayi-</w:t>
      </w:r>
      <w:r>
        <w:rPr>
          <w:rFonts w:ascii="Baskerville Old Face" w:hAnsi="Baskerville Old Face"/>
          <w:i/>
          <w:lang w:val="en-US"/>
        </w:rPr>
        <w:t>i</w:t>
      </w:r>
      <w:r w:rsidRPr="00826021">
        <w:rPr>
          <w:rFonts w:ascii="Baskerville Old Face" w:hAnsi="Baskerville Old Face"/>
          <w:i/>
          <w:lang w:val="en-US"/>
        </w:rPr>
        <w:t xml:space="preserve"> Misriyye</w:t>
      </w:r>
      <w:r>
        <w:rPr>
          <w:rFonts w:ascii="Baskerville Old Face" w:hAnsi="Baskerville Old Face"/>
          <w:i/>
          <w:lang w:val="en-US"/>
        </w:rPr>
        <w:t xml:space="preserve"> </w:t>
      </w:r>
      <w:r w:rsidRPr="00D61138">
        <w:rPr>
          <w:rFonts w:ascii="Baskerville Old Face" w:hAnsi="Baskerville Old Face"/>
          <w:lang w:val="en-US"/>
        </w:rPr>
        <w:t>(</w:t>
      </w:r>
      <w:r>
        <w:rPr>
          <w:rFonts w:ascii="Baskerville Old Face" w:hAnsi="Baskerville Old Face"/>
          <w:lang w:val="en-US"/>
        </w:rPr>
        <w:t xml:space="preserve">Egyptian Events), appeared on November 20, 1828, much earlier than </w:t>
      </w:r>
      <w:r w:rsidRPr="00C919B0">
        <w:rPr>
          <w:rFonts w:ascii="Baskerville Old Face" w:hAnsi="Baskerville Old Face"/>
          <w:lang w:val="en-US"/>
        </w:rPr>
        <w:t>Takvim-i Vekayi</w:t>
      </w:r>
      <w:r>
        <w:rPr>
          <w:rFonts w:ascii="Baskerville Old Face" w:hAnsi="Baskerville Old Face"/>
          <w:lang w:val="en-US"/>
        </w:rPr>
        <w:t>, in Egypt. Governor Mehmet Ali Pasha allowed this semi-weekly paper to circulate in Arabic and Turkish.</w:t>
      </w:r>
      <w:r w:rsidRPr="00100777">
        <w:rPr>
          <w:rStyle w:val="FootnoteReference"/>
        </w:rPr>
        <w:footnoteReference w:id="8"/>
      </w:r>
    </w:p>
    <w:p w14:paraId="40971B84" w14:textId="77777777" w:rsidR="008D4F0E" w:rsidRDefault="008D4F0E" w:rsidP="008D4F0E">
      <w:pPr>
        <w:jc w:val="both"/>
        <w:rPr>
          <w:rFonts w:ascii="Baskerville Old Face" w:hAnsi="Baskerville Old Face"/>
          <w:lang w:val="en-US"/>
        </w:rPr>
      </w:pPr>
    </w:p>
    <w:p w14:paraId="00075ED0"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In July 1843, </w:t>
      </w:r>
      <w:r w:rsidRPr="005C454F">
        <w:rPr>
          <w:rFonts w:ascii="Baskerville Old Face" w:hAnsi="Baskerville Old Face"/>
          <w:lang w:val="en-US"/>
        </w:rPr>
        <w:t>William Churchill</w:t>
      </w:r>
      <w:r>
        <w:rPr>
          <w:rFonts w:ascii="Baskerville Old Face" w:hAnsi="Baskerville Old Face"/>
          <w:lang w:val="en-US"/>
        </w:rPr>
        <w:t xml:space="preserve"> began</w:t>
      </w:r>
      <w:r w:rsidRPr="005C454F">
        <w:rPr>
          <w:rFonts w:ascii="Baskerville Old Face" w:hAnsi="Baskerville Old Face"/>
          <w:lang w:val="en-US"/>
        </w:rPr>
        <w:t xml:space="preserve"> </w:t>
      </w:r>
      <w:r>
        <w:rPr>
          <w:rFonts w:ascii="Baskerville Old Face" w:hAnsi="Baskerville Old Face"/>
          <w:lang w:val="en-US"/>
        </w:rPr>
        <w:t xml:space="preserve">publishing </w:t>
      </w:r>
      <w:r w:rsidRPr="005C454F">
        <w:rPr>
          <w:rFonts w:ascii="Baskerville Old Face" w:hAnsi="Baskerville Old Face"/>
          <w:i/>
          <w:lang w:val="en-US"/>
        </w:rPr>
        <w:t>Ceride-i Havadis</w:t>
      </w:r>
      <w:r w:rsidRPr="005C454F">
        <w:rPr>
          <w:rFonts w:ascii="Baskerville Old Face" w:hAnsi="Baskerville Old Face"/>
          <w:lang w:val="en-US"/>
        </w:rPr>
        <w:t xml:space="preserve"> (Register of Events)</w:t>
      </w:r>
      <w:r>
        <w:rPr>
          <w:rFonts w:ascii="Baskerville Old Face" w:hAnsi="Baskerville Old Face"/>
          <w:lang w:val="en-US"/>
        </w:rPr>
        <w:t xml:space="preserve"> in </w:t>
      </w:r>
      <w:r w:rsidRPr="008D4F0E">
        <w:rPr>
          <w:rFonts w:ascii="Baskerville Old Face" w:hAnsi="Baskerville Old Face"/>
          <w:lang w:val="en-US"/>
        </w:rPr>
        <w:t xml:space="preserve">Turkish. </w:t>
      </w:r>
      <w:r w:rsidRPr="008D4F0E">
        <w:rPr>
          <w:rFonts w:ascii="Baskerville Old Face" w:hAnsi="Baskerville Old Face"/>
          <w:i/>
          <w:lang w:val="en-US"/>
        </w:rPr>
        <w:t>Ceride-i Havadis</w:t>
      </w:r>
      <w:r w:rsidRPr="008D4F0E">
        <w:rPr>
          <w:rFonts w:ascii="Baskerville Old Face" w:hAnsi="Baskerville Old Face"/>
          <w:lang w:val="en-US"/>
        </w:rPr>
        <w:t xml:space="preserve"> began to appear 5 times a week, and mainly covered foreign politics. Like French papers, the paper received state subvention. Churchill regularly received about 5000 Ottoman kurus, as a donation.</w:t>
      </w:r>
      <w:r w:rsidRPr="008D4F0E">
        <w:rPr>
          <w:rStyle w:val="FootnoteReference"/>
        </w:rPr>
        <w:footnoteReference w:id="9"/>
      </w:r>
      <w:r w:rsidRPr="008D4F0E">
        <w:rPr>
          <w:rFonts w:ascii="Baskerville Old Face" w:hAnsi="Baskerville Old Face"/>
          <w:lang w:val="en-US"/>
        </w:rPr>
        <w:t xml:space="preserve"> On the other hand, in 1855, Rizqallah Hassun, a Syrian poet, founded the first private newspaper published in Arabic, </w:t>
      </w:r>
      <w:r w:rsidRPr="008D4F0E">
        <w:rPr>
          <w:rFonts w:ascii="Baskerville Old Face" w:hAnsi="Baskerville Old Face"/>
          <w:i/>
          <w:lang w:val="en-US"/>
        </w:rPr>
        <w:t>Mir'at al-ahwal</w:t>
      </w:r>
      <w:r w:rsidRPr="008D4F0E">
        <w:rPr>
          <w:rFonts w:ascii="Baskerville Old Face" w:hAnsi="Baskerville Old Face"/>
          <w:lang w:val="en-US"/>
        </w:rPr>
        <w:t>. Ottoman authorities suspended the paper in a year later for critiquing state policies.</w:t>
      </w:r>
      <w:r w:rsidRPr="005C454F">
        <w:rPr>
          <w:rFonts w:ascii="Baskerville Old Face" w:hAnsi="Baskerville Old Face"/>
          <w:lang w:val="en-US"/>
        </w:rPr>
        <w:t xml:space="preserve"> </w:t>
      </w:r>
    </w:p>
    <w:p w14:paraId="35CD0C75" w14:textId="77777777" w:rsidR="008D4F0E" w:rsidRDefault="008D4F0E" w:rsidP="008D4F0E">
      <w:pPr>
        <w:jc w:val="both"/>
        <w:rPr>
          <w:rFonts w:ascii="Baskerville Old Face" w:hAnsi="Baskerville Old Face"/>
          <w:lang w:val="en-US"/>
        </w:rPr>
      </w:pPr>
    </w:p>
    <w:p w14:paraId="1663B581" w14:textId="77777777" w:rsidR="008D4F0E" w:rsidRDefault="008D4F0E" w:rsidP="008D4F0E">
      <w:pPr>
        <w:jc w:val="both"/>
        <w:rPr>
          <w:rFonts w:ascii="Baskerville Old Face" w:hAnsi="Baskerville Old Face"/>
          <w:lang w:val="en-US"/>
        </w:rPr>
      </w:pPr>
      <w:r>
        <w:rPr>
          <w:rFonts w:ascii="Baskerville Old Face" w:hAnsi="Baskerville Old Face"/>
          <w:lang w:val="en-US"/>
        </w:rPr>
        <w:t>The Crimean war (1856) aroused public interest in war news. The readership extended; self-supporting and independent newspapers emerged. In most cases, Armenian or Greek capitalists would finance independent journals.</w:t>
      </w:r>
      <w:r w:rsidRPr="00100777">
        <w:rPr>
          <w:rStyle w:val="FootnoteReference"/>
        </w:rPr>
        <w:footnoteReference w:id="10"/>
      </w:r>
      <w:r>
        <w:rPr>
          <w:rFonts w:ascii="Baskerville Old Face" w:hAnsi="Baskerville Old Face"/>
          <w:lang w:val="en-US"/>
        </w:rPr>
        <w:t xml:space="preserve"> We understand that some Greek and Armenians supported modernization efforts in the Empire. </w:t>
      </w:r>
      <w:r>
        <w:rPr>
          <w:rFonts w:ascii="Baskerville Old Face" w:hAnsi="Baskerville Old Face"/>
          <w:lang w:val="en-US"/>
        </w:rPr>
        <w:t xml:space="preserve">As of 1858, </w:t>
      </w:r>
      <w:r>
        <w:rPr>
          <w:rFonts w:ascii="Baskerville Old Face" w:hAnsi="Baskerville Old Face"/>
          <w:lang w:val="en-US"/>
        </w:rPr>
        <w:t>young Ottomans began voicing demands for constitutional parliamentary regime. Some reformists under the direction of general H</w:t>
      </w:r>
      <w:r w:rsidRPr="00D56D6A">
        <w:rPr>
          <w:rFonts w:ascii="Baskerville Old Face" w:hAnsi="Baskerville Old Face"/>
          <w:lang w:val="en-US"/>
        </w:rPr>
        <w:t>ü</w:t>
      </w:r>
      <w:r>
        <w:rPr>
          <w:rFonts w:ascii="Baskerville Old Face" w:hAnsi="Baskerville Old Face"/>
          <w:lang w:val="en-US"/>
        </w:rPr>
        <w:t>sn</w:t>
      </w:r>
      <w:r w:rsidRPr="00D56D6A">
        <w:rPr>
          <w:rFonts w:ascii="Baskerville Old Face" w:hAnsi="Baskerville Old Face"/>
          <w:lang w:val="en-US"/>
        </w:rPr>
        <w:t>ü</w:t>
      </w:r>
      <w:r>
        <w:rPr>
          <w:rFonts w:ascii="Baskerville Old Face" w:hAnsi="Baskerville Old Face"/>
          <w:lang w:val="en-US"/>
        </w:rPr>
        <w:t xml:space="preserve"> Pasha even attempted to proclaim a parliamentary system of government. This attempt failed, as the Palace found out their plans. Intrigued by reformist activities, the Palace placed controls on the press. Under the Criminal Code (1858), opening printing houses without state permission, printing books and newspapers against the state, members of the government or any millets of the Ottoman state, or printing anything (poetry, prose or pictures) harmful to public morality, and producing any slanderous publications became illegal.</w:t>
      </w:r>
      <w:r w:rsidRPr="00100777">
        <w:rPr>
          <w:rStyle w:val="FootnoteReference"/>
        </w:rPr>
        <w:footnoteReference w:id="11"/>
      </w:r>
      <w:r>
        <w:rPr>
          <w:rFonts w:ascii="Baskerville Old Face" w:hAnsi="Baskerville Old Face"/>
          <w:lang w:val="en-US"/>
        </w:rPr>
        <w:t xml:space="preserve"> </w:t>
      </w:r>
    </w:p>
    <w:p w14:paraId="0A36E48B" w14:textId="77777777" w:rsidR="008D4F0E" w:rsidRDefault="008D4F0E" w:rsidP="008D4F0E">
      <w:pPr>
        <w:jc w:val="both"/>
        <w:rPr>
          <w:rFonts w:ascii="Baskerville Old Face" w:hAnsi="Baskerville Old Face"/>
          <w:lang w:val="en-US"/>
        </w:rPr>
      </w:pPr>
    </w:p>
    <w:p w14:paraId="76EA5154"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Young Ottomans were patriotic modernist idealists that took audacious initiatives. Regardless of restrictions of freedoms, publications, associational activities, and clandestine activities (e.g. secret societies) began spreading in the 1860s. They began disseminating ideas of progress and the </w:t>
      </w:r>
      <w:r w:rsidRPr="005C454F">
        <w:rPr>
          <w:rFonts w:ascii="Baskerville Old Face" w:hAnsi="Baskerville Old Face"/>
          <w:lang w:val="en-US"/>
        </w:rPr>
        <w:t>freedom of expression</w:t>
      </w:r>
      <w:r>
        <w:rPr>
          <w:rFonts w:ascii="Baskerville Old Face" w:hAnsi="Baskerville Old Face"/>
          <w:lang w:val="en-US"/>
        </w:rPr>
        <w:t xml:space="preserve"> around coffeehouses. The parallel to French cafés is striking. As mentioned earlier, various mechanisms had propagated the French influence among Ottoman intellectuals, such as, Sultan Selim III’s schools that used French as the language of instruction, French papers </w:t>
      </w:r>
      <w:r w:rsidRPr="008D4F0E">
        <w:rPr>
          <w:rFonts w:ascii="Baskerville Old Face" w:hAnsi="Baskerville Old Face"/>
          <w:lang w:val="en-US"/>
        </w:rPr>
        <w:t xml:space="preserve">and bulletins in circulation, Ottoman students sent to France for education, and commercial relations. </w:t>
      </w:r>
      <w:r w:rsidRPr="008D4F0E">
        <w:rPr>
          <w:rFonts w:ascii="Times New Roman" w:hAnsi="Times New Roman" w:cs="Times New Roman"/>
          <w:lang w:val="en-US"/>
        </w:rPr>
        <w:t>İ</w:t>
      </w:r>
      <w:r w:rsidRPr="008D4F0E">
        <w:rPr>
          <w:rFonts w:ascii="Baskerville Old Face" w:hAnsi="Baskerville Old Face"/>
          <w:lang w:val="en-US"/>
        </w:rPr>
        <w:t xml:space="preserve">brahim </w:t>
      </w:r>
      <w:r w:rsidRPr="008D4F0E">
        <w:rPr>
          <w:rFonts w:ascii="Times New Roman" w:hAnsi="Times New Roman" w:cs="Times New Roman"/>
          <w:lang w:val="en-US"/>
        </w:rPr>
        <w:t>Ş</w:t>
      </w:r>
      <w:r w:rsidRPr="008D4F0E">
        <w:rPr>
          <w:rFonts w:ascii="Baskerville Old Face" w:hAnsi="Baskerville Old Face"/>
          <w:lang w:val="en-US"/>
        </w:rPr>
        <w:t xml:space="preserve">inasi and Agah Efendi established the first non-official and self-supporting paper, </w:t>
      </w:r>
      <w:r w:rsidRPr="008D4F0E">
        <w:rPr>
          <w:rFonts w:ascii="Baskerville Old Face" w:hAnsi="Baskerville Old Face"/>
          <w:i/>
          <w:lang w:val="en-US"/>
        </w:rPr>
        <w:t xml:space="preserve">Tercüman-ı Ahvâl </w:t>
      </w:r>
      <w:r w:rsidRPr="008D4F0E">
        <w:rPr>
          <w:rFonts w:ascii="Baskerville Old Face" w:hAnsi="Baskerville Old Face"/>
          <w:lang w:val="en-US"/>
        </w:rPr>
        <w:t xml:space="preserve">(Interpreter of Events), in October 1860, upon state approval. </w:t>
      </w:r>
      <w:r w:rsidRPr="008D4F0E">
        <w:rPr>
          <w:rFonts w:ascii="Times New Roman" w:hAnsi="Times New Roman" w:cs="Times New Roman"/>
          <w:lang w:val="en-US"/>
        </w:rPr>
        <w:t>Ş</w:t>
      </w:r>
      <w:r w:rsidRPr="008D4F0E">
        <w:rPr>
          <w:rFonts w:ascii="Baskerville Old Face" w:hAnsi="Baskerville Old Face"/>
          <w:lang w:val="en-US"/>
        </w:rPr>
        <w:t xml:space="preserve">inasi parted with Agah Efendi six months later, to establish his own paper </w:t>
      </w:r>
      <w:r w:rsidRPr="008D4F0E">
        <w:rPr>
          <w:rFonts w:ascii="Baskerville Old Face" w:hAnsi="Baskerville Old Face"/>
          <w:i/>
          <w:lang w:val="en-US"/>
        </w:rPr>
        <w:t xml:space="preserve">Tasviri-Efkâr </w:t>
      </w:r>
      <w:r w:rsidRPr="008D4F0E">
        <w:rPr>
          <w:rFonts w:ascii="Baskerville Old Face" w:hAnsi="Baskerville Old Face"/>
          <w:lang w:val="en-US"/>
        </w:rPr>
        <w:t xml:space="preserve">(Picture of Ideas), (1861). The idealist modernizer he was, </w:t>
      </w:r>
      <w:r w:rsidRPr="008D4F0E">
        <w:rPr>
          <w:rFonts w:ascii="Times New Roman" w:hAnsi="Times New Roman" w:cs="Times New Roman"/>
          <w:lang w:val="en-US"/>
        </w:rPr>
        <w:t>Ş</w:t>
      </w:r>
      <w:r w:rsidRPr="008D4F0E">
        <w:rPr>
          <w:rFonts w:ascii="Baskerville Old Face" w:hAnsi="Baskerville Old Face"/>
          <w:lang w:val="en-US"/>
        </w:rPr>
        <w:t xml:space="preserve">inasi believed in rendering reformist ideas accessible and intelligible to ordinary people, through a simplified language. </w:t>
      </w:r>
      <w:r w:rsidRPr="008D4F0E">
        <w:rPr>
          <w:rFonts w:ascii="Baskerville Old Face" w:hAnsi="Baskerville Old Face"/>
          <w:i/>
          <w:lang w:val="en-US"/>
        </w:rPr>
        <w:t xml:space="preserve">Tasviri- Efkâr </w:t>
      </w:r>
      <w:r w:rsidRPr="008D4F0E">
        <w:rPr>
          <w:rFonts w:ascii="Baskerville Old Face" w:hAnsi="Baskerville Old Face"/>
          <w:lang w:val="en-US"/>
        </w:rPr>
        <w:t xml:space="preserve">marshaled new political ideas, such as, ‘government for people’, liberty, or “nation” (the first to use the term) in the new simplified language. </w:t>
      </w:r>
      <w:r w:rsidRPr="008D4F0E">
        <w:rPr>
          <w:rFonts w:ascii="Times New Roman" w:hAnsi="Times New Roman" w:cs="Times New Roman"/>
          <w:lang w:val="en-US"/>
        </w:rPr>
        <w:t>Ş</w:t>
      </w:r>
      <w:r w:rsidRPr="008D4F0E">
        <w:rPr>
          <w:rFonts w:ascii="Baskerville Old Face" w:hAnsi="Baskerville Old Face"/>
          <w:lang w:val="en-US"/>
        </w:rPr>
        <w:t xml:space="preserve">inasi also wrote for the </w:t>
      </w:r>
      <w:r w:rsidRPr="008D4F0E">
        <w:rPr>
          <w:rFonts w:ascii="Baskerville Old Face" w:hAnsi="Baskerville Old Face"/>
          <w:i/>
          <w:lang w:val="en-US"/>
        </w:rPr>
        <w:t>Ceride-i Askeriyye</w:t>
      </w:r>
      <w:r w:rsidRPr="008D4F0E">
        <w:rPr>
          <w:rFonts w:ascii="Baskerville Old Face" w:hAnsi="Baskerville Old Face"/>
          <w:lang w:val="en-US"/>
        </w:rPr>
        <w:t xml:space="preserve"> (“The Military Gazette”).</w:t>
      </w:r>
      <w:r w:rsidRPr="008D4F0E">
        <w:rPr>
          <w:rStyle w:val="FootnoteReference"/>
        </w:rPr>
        <w:footnoteReference w:id="12"/>
      </w:r>
      <w:r w:rsidRPr="008D4F0E">
        <w:rPr>
          <w:rFonts w:ascii="Baskerville Old Face" w:hAnsi="Baskerville Old Face"/>
          <w:lang w:val="en-US"/>
        </w:rPr>
        <w:t xml:space="preserve"> In 1862, he met Namik Kemal Bey, soon to become a prominent </w:t>
      </w:r>
      <w:r w:rsidRPr="008D4F0E">
        <w:rPr>
          <w:rFonts w:ascii="Baskerville Old Face" w:hAnsi="Baskerville Old Face"/>
          <w:i/>
          <w:lang w:val="en-US"/>
        </w:rPr>
        <w:t>Young Ot</w:t>
      </w:r>
      <w:r w:rsidRPr="00ED5542">
        <w:rPr>
          <w:rFonts w:ascii="Baskerville Old Face" w:hAnsi="Baskerville Old Face"/>
          <w:i/>
          <w:lang w:val="en-US"/>
        </w:rPr>
        <w:t>toman</w:t>
      </w:r>
      <w:r>
        <w:rPr>
          <w:rFonts w:ascii="Baskerville Old Face" w:hAnsi="Baskerville Old Face"/>
          <w:lang w:val="en-US"/>
        </w:rPr>
        <w:t xml:space="preserve"> reformist. </w:t>
      </w:r>
    </w:p>
    <w:p w14:paraId="163F037F" w14:textId="77777777" w:rsidR="008D4F0E" w:rsidRDefault="008D4F0E" w:rsidP="008D4F0E">
      <w:pPr>
        <w:jc w:val="both"/>
        <w:rPr>
          <w:rFonts w:ascii="Baskerville Old Face" w:hAnsi="Baskerville Old Face"/>
          <w:lang w:val="en-US"/>
        </w:rPr>
      </w:pPr>
    </w:p>
    <w:p w14:paraId="0A75DBE8"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The Palace disapproved </w:t>
      </w:r>
      <w:r w:rsidRPr="00AA225A">
        <w:rPr>
          <w:rFonts w:ascii="Baskerville Old Face" w:hAnsi="Baskerville Old Face"/>
          <w:i/>
          <w:lang w:val="en-US"/>
        </w:rPr>
        <w:t>Tasviri-</w:t>
      </w:r>
      <w:r w:rsidRPr="006843F1">
        <w:rPr>
          <w:rFonts w:ascii="Baskerville Old Face" w:hAnsi="Baskerville Old Face"/>
          <w:i/>
          <w:lang w:val="en-US"/>
        </w:rPr>
        <w:t xml:space="preserve"> </w:t>
      </w:r>
      <w:r w:rsidRPr="00AA225A">
        <w:rPr>
          <w:rFonts w:ascii="Baskerville Old Face" w:hAnsi="Baskerville Old Face"/>
          <w:i/>
          <w:lang w:val="en-US"/>
        </w:rPr>
        <w:t>Ef</w:t>
      </w:r>
      <w:r w:rsidRPr="006843F1">
        <w:rPr>
          <w:rFonts w:ascii="Baskerville Old Face" w:hAnsi="Baskerville Old Face"/>
          <w:i/>
          <w:lang w:val="en-US"/>
        </w:rPr>
        <w:t>kâ</w:t>
      </w:r>
      <w:r w:rsidRPr="00AA225A">
        <w:rPr>
          <w:rFonts w:ascii="Baskerville Old Face" w:hAnsi="Baskerville Old Face"/>
          <w:i/>
          <w:lang w:val="en-US"/>
        </w:rPr>
        <w:t>r</w:t>
      </w:r>
      <w:r>
        <w:rPr>
          <w:rFonts w:ascii="Baskerville Old Face" w:hAnsi="Baskerville Old Face"/>
          <w:lang w:val="en-US"/>
        </w:rPr>
        <w:t xml:space="preserve">’s oppositional stance, as well as intensifying demands for regime change. With </w:t>
      </w:r>
      <w:r w:rsidRPr="002C4DA9">
        <w:rPr>
          <w:rFonts w:ascii="Baskerville Old Face" w:hAnsi="Baskerville Old Face"/>
          <w:i/>
          <w:lang w:val="en-US"/>
        </w:rPr>
        <w:t>Matbuat Nizamnamesi</w:t>
      </w:r>
      <w:r>
        <w:rPr>
          <w:rFonts w:ascii="Baskerville Old Face" w:hAnsi="Baskerville Old Face"/>
          <w:i/>
          <w:lang w:val="en-US"/>
        </w:rPr>
        <w:t xml:space="preserve"> </w:t>
      </w:r>
      <w:r>
        <w:rPr>
          <w:rFonts w:ascii="Baskerville Old Face" w:hAnsi="Baskerville Old Face"/>
          <w:lang w:val="en-US"/>
        </w:rPr>
        <w:t>(November 25, 1864)</w:t>
      </w:r>
      <w:r w:rsidRPr="005C454F">
        <w:rPr>
          <w:rFonts w:ascii="Baskerville Old Face" w:hAnsi="Baskerville Old Face"/>
          <w:lang w:val="en-US"/>
        </w:rPr>
        <w:t>,</w:t>
      </w:r>
      <w:r>
        <w:rPr>
          <w:rFonts w:ascii="Baskerville Old Face" w:hAnsi="Baskerville Old Face"/>
          <w:lang w:val="en-US"/>
        </w:rPr>
        <w:t xml:space="preserve"> the government defined what constituted legally acceptable press activity. Inspired by French law, the </w:t>
      </w:r>
      <w:r w:rsidRPr="005C454F">
        <w:rPr>
          <w:rFonts w:ascii="Baskerville Old Face" w:hAnsi="Baskerville Old Face"/>
          <w:lang w:val="en-US"/>
        </w:rPr>
        <w:t>new pr</w:t>
      </w:r>
      <w:r>
        <w:rPr>
          <w:rFonts w:ascii="Baskerville Old Face" w:hAnsi="Baskerville Old Face"/>
          <w:lang w:val="en-US"/>
        </w:rPr>
        <w:t>ess code conditioned all publications treating matters of administration and policies to prior official approval. The owner or director of a newspaper had to present a signed copy of every issue to the Press Directorate in Istanbul and the provincial governor. Every issue bore the signature of the owner or director to facilitate the attribution of responsibility. Furthermore, the law defined types of fines or incarceration sentences for publishing materials harmful to public order, security, morals and customs, or for verbal attacks on Ottoman bureaucrats or heads of allied states. The law applied to all Ottoman publications, regardless of the language used. The state established</w:t>
      </w:r>
      <w:r w:rsidRPr="005C454F">
        <w:rPr>
          <w:rFonts w:ascii="Baskerville Old Face" w:hAnsi="Baskerville Old Face"/>
          <w:lang w:val="en-US"/>
        </w:rPr>
        <w:t xml:space="preserve"> a censorship office</w:t>
      </w:r>
      <w:r>
        <w:rPr>
          <w:rFonts w:ascii="Baskerville Old Face" w:hAnsi="Baskerville Old Face"/>
          <w:lang w:val="en-US"/>
        </w:rPr>
        <w:t xml:space="preserve"> to monitor the press.</w:t>
      </w:r>
      <w:r w:rsidRPr="00100777">
        <w:rPr>
          <w:rStyle w:val="FootnoteReference"/>
        </w:rPr>
        <w:footnoteReference w:id="13"/>
      </w:r>
      <w:r>
        <w:rPr>
          <w:rFonts w:ascii="Baskerville Old Face" w:hAnsi="Baskerville Old Face"/>
          <w:lang w:val="en-US"/>
        </w:rPr>
        <w:t xml:space="preserve"> </w:t>
      </w:r>
    </w:p>
    <w:p w14:paraId="668212AB" w14:textId="77777777" w:rsidR="008D4F0E" w:rsidRDefault="008D4F0E" w:rsidP="008D4F0E">
      <w:pPr>
        <w:jc w:val="both"/>
        <w:rPr>
          <w:rFonts w:ascii="Baskerville Old Face" w:hAnsi="Baskerville Old Face"/>
          <w:lang w:val="en-US"/>
        </w:rPr>
      </w:pPr>
    </w:p>
    <w:p w14:paraId="27131D96" w14:textId="77777777" w:rsidR="008D4F0E" w:rsidRDefault="008D4F0E" w:rsidP="008D4F0E">
      <w:pPr>
        <w:jc w:val="both"/>
        <w:rPr>
          <w:rFonts w:ascii="Baskerville Old Face" w:hAnsi="Baskerville Old Face"/>
          <w:lang w:val="en-US"/>
        </w:rPr>
      </w:pPr>
      <w:r w:rsidRPr="005C454F">
        <w:rPr>
          <w:rFonts w:ascii="Times New Roman" w:hAnsi="Times New Roman" w:cs="Times New Roman"/>
          <w:lang w:val="en-US"/>
        </w:rPr>
        <w:t>Ş</w:t>
      </w:r>
      <w:r w:rsidRPr="005C454F">
        <w:rPr>
          <w:rFonts w:ascii="Baskerville Old Face" w:hAnsi="Baskerville Old Face"/>
          <w:lang w:val="en-US"/>
        </w:rPr>
        <w:t>inasi</w:t>
      </w:r>
      <w:r>
        <w:rPr>
          <w:rFonts w:ascii="Baskerville Old Face" w:hAnsi="Baskerville Old Face"/>
          <w:lang w:val="en-US"/>
        </w:rPr>
        <w:t xml:space="preserve"> handed over the management of </w:t>
      </w:r>
      <w:r w:rsidRPr="00AA225A">
        <w:rPr>
          <w:rFonts w:ascii="Baskerville Old Face" w:hAnsi="Baskerville Old Face"/>
          <w:i/>
          <w:lang w:val="en-US"/>
        </w:rPr>
        <w:t>Tasvir</w:t>
      </w:r>
      <w:r>
        <w:rPr>
          <w:rFonts w:ascii="Baskerville Old Face" w:hAnsi="Baskerville Old Face"/>
          <w:i/>
          <w:lang w:val="en-US"/>
        </w:rPr>
        <w:t>-</w:t>
      </w:r>
      <w:r w:rsidRPr="00AA225A">
        <w:rPr>
          <w:rFonts w:ascii="Baskerville Old Face" w:hAnsi="Baskerville Old Face"/>
          <w:i/>
          <w:lang w:val="en-US"/>
        </w:rPr>
        <w:t>i</w:t>
      </w:r>
      <w:r w:rsidRPr="006843F1">
        <w:rPr>
          <w:rFonts w:ascii="Baskerville Old Face" w:hAnsi="Baskerville Old Face"/>
          <w:i/>
          <w:lang w:val="en-US"/>
        </w:rPr>
        <w:t xml:space="preserve"> </w:t>
      </w:r>
      <w:r w:rsidRPr="00AA225A">
        <w:rPr>
          <w:rFonts w:ascii="Baskerville Old Face" w:hAnsi="Baskerville Old Face"/>
          <w:i/>
          <w:lang w:val="en-US"/>
        </w:rPr>
        <w:t>Ef</w:t>
      </w:r>
      <w:r w:rsidRPr="006843F1">
        <w:rPr>
          <w:rFonts w:ascii="Baskerville Old Face" w:hAnsi="Baskerville Old Face"/>
          <w:i/>
          <w:lang w:val="en-US"/>
        </w:rPr>
        <w:t>kâ</w:t>
      </w:r>
      <w:r w:rsidRPr="00AA225A">
        <w:rPr>
          <w:rFonts w:ascii="Baskerville Old Face" w:hAnsi="Baskerville Old Face"/>
          <w:i/>
          <w:lang w:val="en-US"/>
        </w:rPr>
        <w:t>r</w:t>
      </w:r>
      <w:r>
        <w:rPr>
          <w:rFonts w:ascii="Baskerville Old Face" w:hAnsi="Baskerville Old Face"/>
          <w:lang w:val="en-US"/>
        </w:rPr>
        <w:t xml:space="preserve"> to Namik Kemal, and fled </w:t>
      </w:r>
      <w:r w:rsidRPr="00B80939">
        <w:rPr>
          <w:rFonts w:ascii="Baskerville Old Face" w:hAnsi="Baskerville Old Face"/>
          <w:lang w:val="en-US"/>
        </w:rPr>
        <w:t>to Paris</w:t>
      </w:r>
      <w:r>
        <w:rPr>
          <w:rFonts w:ascii="Baskerville Old Face" w:hAnsi="Baskerville Old Face"/>
          <w:lang w:val="en-US"/>
        </w:rPr>
        <w:t xml:space="preserve"> i</w:t>
      </w:r>
      <w:r w:rsidRPr="00B80939">
        <w:rPr>
          <w:rFonts w:ascii="Baskerville Old Face" w:hAnsi="Baskerville Old Face"/>
          <w:lang w:val="en-US"/>
        </w:rPr>
        <w:t>n 1865</w:t>
      </w:r>
      <w:r>
        <w:rPr>
          <w:rFonts w:ascii="Baskerville Old Face" w:hAnsi="Baskerville Old Face"/>
          <w:lang w:val="en-US"/>
        </w:rPr>
        <w:t xml:space="preserve">, </w:t>
      </w:r>
      <w:r w:rsidRPr="008D4F0E">
        <w:rPr>
          <w:rFonts w:ascii="Baskerville Old Face" w:hAnsi="Baskerville Old Face"/>
          <w:lang w:val="en-US"/>
        </w:rPr>
        <w:t>because of his involvement in a plot against Ali Pasha.</w:t>
      </w:r>
      <w:r w:rsidRPr="008D4F0E">
        <w:rPr>
          <w:rStyle w:val="FootnoteReference"/>
          <w:rFonts w:ascii="Baskerville Old Face" w:hAnsi="Baskerville Old Face"/>
          <w:lang w:val="en-US"/>
        </w:rPr>
        <w:footnoteReference w:id="14"/>
      </w:r>
      <w:r w:rsidRPr="008D4F0E">
        <w:rPr>
          <w:rFonts w:ascii="Baskerville Old Face" w:hAnsi="Baskerville Old Face"/>
          <w:lang w:val="en-US"/>
        </w:rPr>
        <w:t xml:space="preserve"> Restrictions had hindered but could not stop reformist activities. Young Ottomans remaining in the Empire set up new publications e.g. </w:t>
      </w:r>
      <w:r w:rsidRPr="008D4F0E">
        <w:rPr>
          <w:rFonts w:ascii="Baskerville Old Face" w:hAnsi="Baskerville Old Face"/>
          <w:i/>
          <w:lang w:val="en-US"/>
        </w:rPr>
        <w:t xml:space="preserve">Muhbir </w:t>
      </w:r>
      <w:r w:rsidRPr="008D4F0E">
        <w:rPr>
          <w:rFonts w:ascii="Baskerville Old Face" w:hAnsi="Baskerville Old Face"/>
          <w:lang w:val="en-US"/>
        </w:rPr>
        <w:t>(by Ali Suavi)</w:t>
      </w:r>
      <w:r w:rsidRPr="008D4F0E">
        <w:rPr>
          <w:rFonts w:ascii="Baskerville Old Face" w:hAnsi="Baskerville Old Face"/>
          <w:i/>
          <w:lang w:val="en-US"/>
        </w:rPr>
        <w:t>, Ayine-I Vatan, Utarit</w:t>
      </w:r>
      <w:r w:rsidRPr="008D4F0E">
        <w:rPr>
          <w:rFonts w:ascii="Baskerville Old Face" w:hAnsi="Baskerville Old Face"/>
          <w:lang w:val="en-US"/>
        </w:rPr>
        <w:t>.</w:t>
      </w:r>
      <w:r w:rsidRPr="008D4F0E">
        <w:rPr>
          <w:rFonts w:ascii="Times New Roman" w:hAnsi="Times New Roman" w:cs="Times New Roman"/>
          <w:lang w:val="en-US"/>
        </w:rPr>
        <w:t xml:space="preserve"> </w:t>
      </w:r>
      <w:r w:rsidRPr="008D4F0E">
        <w:rPr>
          <w:rFonts w:ascii="Baskerville Old Face" w:hAnsi="Baskerville Old Face"/>
          <w:lang w:val="en-US"/>
        </w:rPr>
        <w:t xml:space="preserve">Namik Kemal, the new editor of </w:t>
      </w:r>
      <w:r w:rsidRPr="008D4F0E">
        <w:rPr>
          <w:rFonts w:ascii="Baskerville Old Face" w:hAnsi="Baskerville Old Face"/>
          <w:i/>
          <w:lang w:val="en-US"/>
        </w:rPr>
        <w:t>Tasviri- Efkâr,</w:t>
      </w:r>
      <w:r w:rsidRPr="008D4F0E">
        <w:rPr>
          <w:rFonts w:ascii="Baskerville Old Face" w:hAnsi="Baskerville Old Face"/>
          <w:lang w:val="en-US"/>
        </w:rPr>
        <w:t xml:space="preserve"> began publishing the series “</w:t>
      </w:r>
      <w:r w:rsidRPr="008D4F0E">
        <w:rPr>
          <w:rFonts w:ascii="Times New Roman" w:hAnsi="Times New Roman" w:cs="Times New Roman"/>
          <w:lang w:val="en-US"/>
        </w:rPr>
        <w:t>Ş</w:t>
      </w:r>
      <w:r w:rsidRPr="008D4F0E">
        <w:rPr>
          <w:rFonts w:ascii="Baskerville Old Face" w:hAnsi="Baskerville Old Face"/>
          <w:lang w:val="en-US"/>
        </w:rPr>
        <w:t xml:space="preserve">ark Meselesi” (The Problem of the Orient). Intrigued by </w:t>
      </w:r>
      <w:r w:rsidRPr="008D4F0E">
        <w:rPr>
          <w:rFonts w:ascii="Times New Roman" w:hAnsi="Times New Roman" w:cs="Times New Roman"/>
          <w:lang w:val="en-US"/>
        </w:rPr>
        <w:t>Ş</w:t>
      </w:r>
      <w:r w:rsidRPr="008D4F0E">
        <w:rPr>
          <w:rFonts w:ascii="Baskerville Old Face" w:hAnsi="Baskerville Old Face"/>
          <w:lang w:val="en-US"/>
        </w:rPr>
        <w:t xml:space="preserve">ark Meselesi and equivalent publications voicing opposition, the government issued </w:t>
      </w:r>
      <w:r w:rsidRPr="008D4F0E">
        <w:rPr>
          <w:rFonts w:ascii="Baskerville Old Face" w:hAnsi="Baskerville Old Face"/>
          <w:i/>
          <w:lang w:val="en-US"/>
        </w:rPr>
        <w:t>Kararname-i Ali</w:t>
      </w:r>
      <w:r w:rsidRPr="008D4F0E">
        <w:rPr>
          <w:rFonts w:ascii="Baskerville Old Face" w:hAnsi="Baskerville Old Face"/>
          <w:lang w:val="en-US"/>
        </w:rPr>
        <w:t>, a decree that enabled the government to take action against publications that were hostile to the ‘general interests of the country’. According to the decree, journalists had the duty to strive to counter any allegations against their country.</w:t>
      </w:r>
      <w:r w:rsidRPr="008D4F0E">
        <w:rPr>
          <w:rStyle w:val="FootnoteReference"/>
        </w:rPr>
        <w:footnoteReference w:id="15"/>
      </w:r>
      <w:r w:rsidRPr="008D4F0E">
        <w:rPr>
          <w:rFonts w:ascii="Baskerville Old Face" w:hAnsi="Baskerville Old Face"/>
          <w:lang w:val="en-US"/>
        </w:rPr>
        <w:t xml:space="preserve"> By vastly defining what constituted an offensive act, the document had further shrunk the room for opposition. Consequently, more Young Ottomans, including Namik Kemal, had to flee to London, Paris, and Vienna, in 1867. Recaizade Mahmut Ekrem (poet of the new literary movement, also professor and bureaucrat</w:t>
      </w:r>
      <w:r>
        <w:rPr>
          <w:rFonts w:ascii="Baskerville Old Face" w:hAnsi="Baskerville Old Face"/>
          <w:lang w:val="en-US"/>
        </w:rPr>
        <w:t xml:space="preserve">) took </w:t>
      </w:r>
      <w:r w:rsidRPr="00AA225A">
        <w:rPr>
          <w:rFonts w:ascii="Baskerville Old Face" w:hAnsi="Baskerville Old Face"/>
          <w:i/>
          <w:lang w:val="en-US"/>
        </w:rPr>
        <w:t>Tasviri-</w:t>
      </w:r>
      <w:r w:rsidRPr="006843F1">
        <w:rPr>
          <w:rFonts w:ascii="Baskerville Old Face" w:hAnsi="Baskerville Old Face"/>
          <w:i/>
          <w:lang w:val="en-US"/>
        </w:rPr>
        <w:t xml:space="preserve"> </w:t>
      </w:r>
      <w:r w:rsidRPr="00AA225A">
        <w:rPr>
          <w:rFonts w:ascii="Baskerville Old Face" w:hAnsi="Baskerville Old Face"/>
          <w:i/>
          <w:lang w:val="en-US"/>
        </w:rPr>
        <w:t>Ef</w:t>
      </w:r>
      <w:r w:rsidRPr="006843F1">
        <w:rPr>
          <w:rFonts w:ascii="Baskerville Old Face" w:hAnsi="Baskerville Old Face"/>
          <w:i/>
          <w:lang w:val="en-US"/>
        </w:rPr>
        <w:t>kâ</w:t>
      </w:r>
      <w:r w:rsidRPr="00AA225A">
        <w:rPr>
          <w:rFonts w:ascii="Baskerville Old Face" w:hAnsi="Baskerville Old Face"/>
          <w:i/>
          <w:lang w:val="en-US"/>
        </w:rPr>
        <w:t xml:space="preserve">r </w:t>
      </w:r>
      <w:r>
        <w:rPr>
          <w:rFonts w:ascii="Baskerville Old Face" w:hAnsi="Baskerville Old Face"/>
          <w:lang w:val="en-US"/>
        </w:rPr>
        <w:t xml:space="preserve">over after Namik Kemal’s departure. </w:t>
      </w:r>
    </w:p>
    <w:p w14:paraId="2362D9D0" w14:textId="77777777" w:rsidR="008D4F0E" w:rsidRDefault="008D4F0E" w:rsidP="008D4F0E">
      <w:pPr>
        <w:jc w:val="both"/>
        <w:rPr>
          <w:rFonts w:ascii="Baskerville Old Face" w:hAnsi="Baskerville Old Face"/>
          <w:lang w:val="en-US"/>
        </w:rPr>
      </w:pPr>
    </w:p>
    <w:p w14:paraId="224ABDA2" w14:textId="77777777" w:rsidR="008D4F0E" w:rsidRDefault="008D4F0E" w:rsidP="008D4F0E">
      <w:pPr>
        <w:jc w:val="both"/>
        <w:rPr>
          <w:rFonts w:ascii="Baskerville Old Face" w:hAnsi="Baskerville Old Face"/>
          <w:lang w:val="en-US"/>
        </w:rPr>
      </w:pPr>
      <w:r>
        <w:rPr>
          <w:rFonts w:ascii="Baskerville Old Face" w:hAnsi="Baskerville Old Face"/>
          <w:lang w:val="en-US"/>
        </w:rPr>
        <w:t>Censorship interrupted the Young Ottoman opposition until 1870. Still, the press was livelier than a decade ago. In 1860, the entire empire had one official paper and one semi-official weekly. In 1872, three dailies, two papers appearing three times a week, two satirical papers (one weekly, the other semi-weekly), one weekly police gazette, one military weekly and a commercial weekly were in circulation (Yalman, pp.41-42). In the same period, Young Ottomans had also begun publishing novels and short stories to treat social problems. Heroes selected amongst ordinary people reflected reformist attempts to reach masses. Via popularized scientific magazines, reformists tried to educate masses, by propagating scientific developments using a simplified language.</w:t>
      </w:r>
      <w:r w:rsidRPr="00100777">
        <w:rPr>
          <w:rStyle w:val="FootnoteReference"/>
        </w:rPr>
        <w:footnoteReference w:id="16"/>
      </w:r>
      <w:r w:rsidRPr="00521C7F">
        <w:rPr>
          <w:rFonts w:ascii="Baskerville Old Face" w:hAnsi="Baskerville Old Face"/>
          <w:lang w:val="en-US"/>
        </w:rPr>
        <w:t xml:space="preserve"> </w:t>
      </w:r>
    </w:p>
    <w:p w14:paraId="2859A4C1" w14:textId="77777777" w:rsidR="008D4F0E" w:rsidRDefault="008D4F0E" w:rsidP="008D4F0E">
      <w:pPr>
        <w:jc w:val="both"/>
        <w:rPr>
          <w:rFonts w:ascii="Baskerville Old Face" w:hAnsi="Baskerville Old Face"/>
          <w:lang w:val="en-US"/>
        </w:rPr>
      </w:pPr>
    </w:p>
    <w:p w14:paraId="12123CBC" w14:textId="77777777" w:rsidR="008D4F0E" w:rsidRDefault="008D4F0E" w:rsidP="008D4F0E">
      <w:pPr>
        <w:jc w:val="both"/>
        <w:rPr>
          <w:rFonts w:ascii="Baskerville Old Face" w:hAnsi="Baskerville Old Face"/>
          <w:lang w:val="en-US"/>
        </w:rPr>
      </w:pPr>
      <w:r>
        <w:rPr>
          <w:rFonts w:ascii="Baskerville Old Face" w:hAnsi="Baskerville Old Face"/>
          <w:lang w:val="en-US"/>
        </w:rPr>
        <w:t>Young Ottomans’ publications reflect the latter’s preoccupation with saving the country by transitioning to constitutional parliamentarianism.</w:t>
      </w:r>
      <w:r w:rsidRPr="00100777">
        <w:rPr>
          <w:rStyle w:val="FootnoteReference"/>
        </w:rPr>
        <w:footnoteReference w:id="17"/>
      </w:r>
      <w:r>
        <w:rPr>
          <w:rFonts w:ascii="Baskerville Old Face" w:hAnsi="Baskerville Old Face"/>
          <w:lang w:val="en-US"/>
        </w:rPr>
        <w:t xml:space="preserve"> Constitution would curb the power of the bureaucracy, and protect individuals against arbitrariness. Law would also protect reforms from reversals and conservative coalitions. Participation and consensus making, they believed, would enhance minorities’ loyalty towards the regime, and prevent them from collaborating with the Great Powers against the state. On average, non-Muslim subjects had higher levels of education and welfare than Muslim subjects. By contrast, Muslims were mostly unfamiliar with the ideas of liberty, equality and Ottoman citizenship. The Young Ottomans had first to introduce masses to these ideas, then obtain the latter’s support to carry out and consolidate reforms. Efforts to simplify the language and educate masses were subsumed under this larger strategy of regime change. </w:t>
      </w:r>
    </w:p>
    <w:p w14:paraId="60B0A9BF" w14:textId="77777777" w:rsidR="008D4F0E" w:rsidRDefault="008D4F0E" w:rsidP="008D4F0E">
      <w:pPr>
        <w:jc w:val="both"/>
        <w:rPr>
          <w:rFonts w:ascii="Baskerville Old Face" w:hAnsi="Baskerville Old Face"/>
          <w:lang w:val="en-US"/>
        </w:rPr>
      </w:pPr>
    </w:p>
    <w:p w14:paraId="746D0017" w14:textId="77777777" w:rsidR="008D4F0E" w:rsidRDefault="008D4F0E" w:rsidP="008D4F0E">
      <w:pPr>
        <w:jc w:val="both"/>
        <w:rPr>
          <w:rFonts w:ascii="Baskerville Old Face" w:hAnsi="Baskerville Old Face"/>
          <w:lang w:val="en-US"/>
        </w:rPr>
      </w:pPr>
      <w:r w:rsidRPr="00985763">
        <w:rPr>
          <w:rFonts w:ascii="Baskerville Old Face" w:hAnsi="Baskerville Old Face"/>
          <w:b/>
          <w:i/>
          <w:lang w:val="en-US"/>
        </w:rPr>
        <w:t>List of Publications</w:t>
      </w:r>
      <w:r>
        <w:rPr>
          <w:rFonts w:ascii="Baskerville Old Face" w:hAnsi="Baskerville Old Face"/>
          <w:lang w:val="en-US"/>
        </w:rPr>
        <w:t>:</w:t>
      </w:r>
    </w:p>
    <w:tbl>
      <w:tblPr>
        <w:tblStyle w:val="TableGrid"/>
        <w:tblW w:w="0" w:type="auto"/>
        <w:tblLook w:val="04A0" w:firstRow="1" w:lastRow="0" w:firstColumn="1" w:lastColumn="0" w:noHBand="0" w:noVBand="1"/>
      </w:tblPr>
      <w:tblGrid>
        <w:gridCol w:w="2890"/>
        <w:gridCol w:w="2874"/>
        <w:gridCol w:w="2866"/>
      </w:tblGrid>
      <w:tr w:rsidR="008D4F0E" w14:paraId="5F68289D" w14:textId="77777777" w:rsidTr="000F014E">
        <w:tc>
          <w:tcPr>
            <w:tcW w:w="2952" w:type="dxa"/>
          </w:tcPr>
          <w:p w14:paraId="14A96E4A" w14:textId="77777777" w:rsidR="008D4F0E" w:rsidRPr="00020CBF" w:rsidRDefault="008D4F0E" w:rsidP="000F014E">
            <w:pPr>
              <w:jc w:val="both"/>
              <w:rPr>
                <w:rFonts w:ascii="Baskerville Old Face" w:hAnsi="Baskerville Old Face"/>
                <w:b/>
                <w:i/>
                <w:color w:val="ED7D31" w:themeColor="accent2"/>
                <w:lang w:val="en-US"/>
              </w:rPr>
            </w:pPr>
            <w:r>
              <w:rPr>
                <w:rFonts w:ascii="Baskerville Old Face" w:hAnsi="Baskerville Old Face"/>
                <w:b/>
                <w:i/>
                <w:color w:val="ED7D31" w:themeColor="accent2"/>
                <w:lang w:val="en-US"/>
              </w:rPr>
              <w:t>Time</w:t>
            </w:r>
          </w:p>
        </w:tc>
        <w:tc>
          <w:tcPr>
            <w:tcW w:w="2952" w:type="dxa"/>
          </w:tcPr>
          <w:p w14:paraId="42F8D125" w14:textId="77777777" w:rsidR="008D4F0E" w:rsidRPr="00020CBF" w:rsidRDefault="008D4F0E" w:rsidP="000F014E">
            <w:pPr>
              <w:jc w:val="both"/>
              <w:rPr>
                <w:rFonts w:ascii="Baskerville Old Face" w:hAnsi="Baskerville Old Face"/>
                <w:b/>
                <w:i/>
                <w:color w:val="ED7D31" w:themeColor="accent2"/>
                <w:lang w:val="en-US"/>
              </w:rPr>
            </w:pPr>
            <w:r w:rsidRPr="00020CBF">
              <w:rPr>
                <w:rFonts w:ascii="Baskerville Old Face" w:hAnsi="Baskerville Old Face"/>
                <w:b/>
                <w:i/>
                <w:color w:val="ED7D31" w:themeColor="accent2"/>
                <w:lang w:val="en-US"/>
              </w:rPr>
              <w:t>Name of the Paper</w:t>
            </w:r>
          </w:p>
        </w:tc>
        <w:tc>
          <w:tcPr>
            <w:tcW w:w="2952" w:type="dxa"/>
          </w:tcPr>
          <w:p w14:paraId="5E7C3E20" w14:textId="77777777" w:rsidR="008D4F0E" w:rsidRPr="00020CBF" w:rsidRDefault="008D4F0E" w:rsidP="000F014E">
            <w:pPr>
              <w:jc w:val="both"/>
              <w:rPr>
                <w:rFonts w:ascii="Baskerville Old Face" w:hAnsi="Baskerville Old Face"/>
                <w:b/>
                <w:i/>
                <w:color w:val="ED7D31" w:themeColor="accent2"/>
                <w:lang w:val="en-US"/>
              </w:rPr>
            </w:pPr>
            <w:r>
              <w:rPr>
                <w:rFonts w:ascii="Baskerville Old Face" w:hAnsi="Baskerville Old Face"/>
                <w:b/>
                <w:i/>
                <w:color w:val="ED7D31" w:themeColor="accent2"/>
                <w:lang w:val="en-US"/>
              </w:rPr>
              <w:t>Language</w:t>
            </w:r>
          </w:p>
        </w:tc>
      </w:tr>
      <w:tr w:rsidR="008D4F0E" w14:paraId="336BA7CE" w14:textId="77777777" w:rsidTr="000F014E">
        <w:tc>
          <w:tcPr>
            <w:tcW w:w="2952" w:type="dxa"/>
          </w:tcPr>
          <w:p w14:paraId="39EB0AD1" w14:textId="77777777" w:rsidR="008D4F0E" w:rsidRDefault="008D4F0E" w:rsidP="000F014E">
            <w:pPr>
              <w:jc w:val="both"/>
              <w:rPr>
                <w:rFonts w:ascii="Baskerville Old Face" w:hAnsi="Baskerville Old Face"/>
                <w:lang w:val="en-US"/>
              </w:rPr>
            </w:pPr>
            <w:r>
              <w:rPr>
                <w:rFonts w:ascii="Baskerville Old Face" w:hAnsi="Baskerville Old Face"/>
                <w:lang w:val="en-US"/>
              </w:rPr>
              <w:t>1860</w:t>
            </w:r>
          </w:p>
        </w:tc>
        <w:tc>
          <w:tcPr>
            <w:tcW w:w="2952" w:type="dxa"/>
          </w:tcPr>
          <w:p w14:paraId="090AD077" w14:textId="77777777" w:rsidR="008D4F0E" w:rsidRDefault="008D4F0E" w:rsidP="000F014E">
            <w:pPr>
              <w:jc w:val="both"/>
              <w:rPr>
                <w:rFonts w:ascii="Baskerville Old Face" w:hAnsi="Baskerville Old Face"/>
                <w:lang w:val="en-US"/>
              </w:rPr>
            </w:pPr>
            <w:r w:rsidRPr="00C919B0">
              <w:rPr>
                <w:rFonts w:ascii="Baskerville Old Face" w:hAnsi="Baskerville Old Face"/>
                <w:lang w:val="en-US"/>
              </w:rPr>
              <w:t>Takvim-i Vekayi</w:t>
            </w:r>
          </w:p>
          <w:p w14:paraId="7EEC2537" w14:textId="77777777" w:rsidR="008D4F0E" w:rsidRDefault="008D4F0E" w:rsidP="000F014E">
            <w:pPr>
              <w:jc w:val="both"/>
              <w:rPr>
                <w:rFonts w:ascii="Baskerville Old Face" w:hAnsi="Baskerville Old Face"/>
                <w:lang w:val="en-US"/>
              </w:rPr>
            </w:pPr>
            <w:r>
              <w:rPr>
                <w:rFonts w:ascii="Baskerville Old Face" w:hAnsi="Baskerville Old Face"/>
                <w:lang w:val="en-US"/>
              </w:rPr>
              <w:t>Ceride-I Havadis</w:t>
            </w:r>
          </w:p>
        </w:tc>
        <w:tc>
          <w:tcPr>
            <w:tcW w:w="2952" w:type="dxa"/>
          </w:tcPr>
          <w:p w14:paraId="445CB3D4" w14:textId="77777777" w:rsidR="008D4F0E" w:rsidRDefault="008D4F0E" w:rsidP="000F014E">
            <w:pPr>
              <w:jc w:val="both"/>
              <w:rPr>
                <w:rFonts w:ascii="Baskerville Old Face" w:hAnsi="Baskerville Old Face"/>
                <w:lang w:val="en-US"/>
              </w:rPr>
            </w:pPr>
            <w:r>
              <w:rPr>
                <w:rFonts w:ascii="Baskerville Old Face" w:hAnsi="Baskerville Old Face"/>
                <w:lang w:val="en-US"/>
              </w:rPr>
              <w:t>Turkish</w:t>
            </w:r>
          </w:p>
        </w:tc>
      </w:tr>
      <w:tr w:rsidR="008D4F0E" w14:paraId="20241CF9" w14:textId="77777777" w:rsidTr="000F014E">
        <w:tc>
          <w:tcPr>
            <w:tcW w:w="2952" w:type="dxa"/>
          </w:tcPr>
          <w:p w14:paraId="441150DE" w14:textId="77777777" w:rsidR="008D4F0E" w:rsidRDefault="008D4F0E" w:rsidP="000F014E">
            <w:pPr>
              <w:jc w:val="both"/>
              <w:rPr>
                <w:rFonts w:ascii="Baskerville Old Face" w:hAnsi="Baskerville Old Face"/>
                <w:lang w:val="en-US"/>
              </w:rPr>
            </w:pPr>
            <w:r>
              <w:rPr>
                <w:rFonts w:ascii="Baskerville Old Face" w:hAnsi="Baskerville Old Face"/>
                <w:lang w:val="en-US"/>
              </w:rPr>
              <w:t>1872</w:t>
            </w:r>
          </w:p>
        </w:tc>
        <w:tc>
          <w:tcPr>
            <w:tcW w:w="2952" w:type="dxa"/>
          </w:tcPr>
          <w:p w14:paraId="675835FA" w14:textId="77777777" w:rsidR="008D4F0E" w:rsidRDefault="008D4F0E" w:rsidP="000F014E">
            <w:pPr>
              <w:jc w:val="both"/>
              <w:rPr>
                <w:rFonts w:ascii="Baskerville Old Face" w:hAnsi="Baskerville Old Face"/>
                <w:lang w:val="en-US"/>
              </w:rPr>
            </w:pPr>
            <w:r>
              <w:rPr>
                <w:rFonts w:ascii="Baskerville Old Face" w:hAnsi="Baskerville Old Face"/>
                <w:lang w:val="en-US"/>
              </w:rPr>
              <w:t>Three dailies</w:t>
            </w:r>
          </w:p>
          <w:p w14:paraId="3E1BB626" w14:textId="77777777" w:rsidR="008D4F0E" w:rsidRDefault="008D4F0E" w:rsidP="000F014E">
            <w:pPr>
              <w:jc w:val="both"/>
              <w:rPr>
                <w:rFonts w:ascii="Baskerville Old Face" w:hAnsi="Baskerville Old Face"/>
                <w:lang w:val="en-US"/>
              </w:rPr>
            </w:pPr>
            <w:r>
              <w:rPr>
                <w:rFonts w:ascii="Baskerville Old Face" w:hAnsi="Baskerville Old Face"/>
                <w:lang w:val="en-US"/>
              </w:rPr>
              <w:t>Two papers appearing three times a week</w:t>
            </w:r>
          </w:p>
          <w:p w14:paraId="4827B316" w14:textId="77777777" w:rsidR="008D4F0E" w:rsidRDefault="008D4F0E" w:rsidP="000F014E">
            <w:pPr>
              <w:jc w:val="both"/>
              <w:rPr>
                <w:rFonts w:ascii="Baskerville Old Face" w:hAnsi="Baskerville Old Face"/>
                <w:lang w:val="en-US"/>
              </w:rPr>
            </w:pPr>
            <w:r>
              <w:rPr>
                <w:rFonts w:ascii="Baskerville Old Face" w:hAnsi="Baskerville Old Face"/>
                <w:lang w:val="en-US"/>
              </w:rPr>
              <w:t xml:space="preserve">Two satirical papers (one weekly, the other semi-weekly), </w:t>
            </w:r>
          </w:p>
          <w:p w14:paraId="360E2052" w14:textId="77777777" w:rsidR="008D4F0E" w:rsidRDefault="008D4F0E" w:rsidP="000F014E">
            <w:pPr>
              <w:jc w:val="both"/>
              <w:rPr>
                <w:rFonts w:ascii="Baskerville Old Face" w:hAnsi="Baskerville Old Face"/>
                <w:lang w:val="en-US"/>
              </w:rPr>
            </w:pPr>
            <w:r>
              <w:rPr>
                <w:rFonts w:ascii="Baskerville Old Face" w:hAnsi="Baskerville Old Face"/>
                <w:lang w:val="en-US"/>
              </w:rPr>
              <w:t xml:space="preserve">One weekly police gazette, </w:t>
            </w:r>
          </w:p>
          <w:p w14:paraId="56FAAEA6" w14:textId="77777777" w:rsidR="008D4F0E" w:rsidRDefault="008D4F0E" w:rsidP="000F014E">
            <w:pPr>
              <w:jc w:val="both"/>
              <w:rPr>
                <w:rFonts w:ascii="Baskerville Old Face" w:hAnsi="Baskerville Old Face"/>
                <w:lang w:val="en-US"/>
              </w:rPr>
            </w:pPr>
            <w:r>
              <w:rPr>
                <w:rFonts w:ascii="Baskerville Old Face" w:hAnsi="Baskerville Old Face"/>
                <w:lang w:val="en-US"/>
              </w:rPr>
              <w:t xml:space="preserve">One military weekly </w:t>
            </w:r>
          </w:p>
          <w:p w14:paraId="6A0AED5E" w14:textId="77777777" w:rsidR="008D4F0E" w:rsidRPr="00C919B0" w:rsidRDefault="008D4F0E" w:rsidP="000F014E">
            <w:pPr>
              <w:jc w:val="both"/>
              <w:rPr>
                <w:rFonts w:ascii="Baskerville Old Face" w:hAnsi="Baskerville Old Face"/>
                <w:lang w:val="en-US"/>
              </w:rPr>
            </w:pPr>
            <w:r>
              <w:rPr>
                <w:rFonts w:ascii="Baskerville Old Face" w:hAnsi="Baskerville Old Face"/>
                <w:lang w:val="en-US"/>
              </w:rPr>
              <w:t>One commercial weekly</w:t>
            </w:r>
          </w:p>
        </w:tc>
        <w:tc>
          <w:tcPr>
            <w:tcW w:w="2952" w:type="dxa"/>
          </w:tcPr>
          <w:p w14:paraId="404131E6" w14:textId="77777777" w:rsidR="008D4F0E" w:rsidRDefault="008D4F0E" w:rsidP="000F014E">
            <w:pPr>
              <w:jc w:val="both"/>
              <w:rPr>
                <w:rFonts w:ascii="Baskerville Old Face" w:hAnsi="Baskerville Old Face"/>
                <w:lang w:val="en-US"/>
              </w:rPr>
            </w:pPr>
          </w:p>
        </w:tc>
      </w:tr>
      <w:tr w:rsidR="008D4F0E" w14:paraId="132D4D4A" w14:textId="77777777" w:rsidTr="000F014E">
        <w:tc>
          <w:tcPr>
            <w:tcW w:w="2952" w:type="dxa"/>
          </w:tcPr>
          <w:p w14:paraId="24783CD3" w14:textId="77777777" w:rsidR="008D4F0E" w:rsidRDefault="008D4F0E" w:rsidP="000F014E">
            <w:pPr>
              <w:jc w:val="both"/>
              <w:rPr>
                <w:rFonts w:ascii="Baskerville Old Face" w:hAnsi="Baskerville Old Face"/>
                <w:lang w:val="en-US"/>
              </w:rPr>
            </w:pPr>
          </w:p>
        </w:tc>
        <w:tc>
          <w:tcPr>
            <w:tcW w:w="2952" w:type="dxa"/>
          </w:tcPr>
          <w:p w14:paraId="33C21F41" w14:textId="77777777" w:rsidR="008D4F0E" w:rsidRDefault="008D4F0E" w:rsidP="000F014E">
            <w:pPr>
              <w:jc w:val="both"/>
              <w:rPr>
                <w:rFonts w:ascii="Baskerville Old Face" w:hAnsi="Baskerville Old Face"/>
                <w:lang w:val="en-US"/>
              </w:rPr>
            </w:pPr>
            <w:r>
              <w:rPr>
                <w:rFonts w:ascii="Baskerville Old Face" w:hAnsi="Baskerville Old Face"/>
                <w:lang w:val="en-US"/>
              </w:rPr>
              <w:t>Levant Herald</w:t>
            </w:r>
          </w:p>
          <w:p w14:paraId="3935C7B9" w14:textId="77777777" w:rsidR="008D4F0E" w:rsidRDefault="008D4F0E" w:rsidP="000F014E">
            <w:pPr>
              <w:jc w:val="both"/>
              <w:rPr>
                <w:rFonts w:ascii="Baskerville Old Face" w:hAnsi="Baskerville Old Face"/>
                <w:lang w:val="en-US"/>
              </w:rPr>
            </w:pPr>
            <w:r>
              <w:rPr>
                <w:rFonts w:ascii="Baskerville Old Face" w:hAnsi="Baskerville Old Face"/>
                <w:lang w:val="en-US"/>
              </w:rPr>
              <w:t>Levant Times</w:t>
            </w:r>
          </w:p>
        </w:tc>
        <w:tc>
          <w:tcPr>
            <w:tcW w:w="2952" w:type="dxa"/>
          </w:tcPr>
          <w:p w14:paraId="5F3BC624" w14:textId="77777777" w:rsidR="008D4F0E" w:rsidRDefault="008D4F0E" w:rsidP="000F014E">
            <w:pPr>
              <w:jc w:val="both"/>
              <w:rPr>
                <w:rFonts w:ascii="Baskerville Old Face" w:hAnsi="Baskerville Old Face"/>
                <w:lang w:val="en-US"/>
              </w:rPr>
            </w:pPr>
            <w:r>
              <w:rPr>
                <w:rFonts w:ascii="Baskerville Old Face" w:hAnsi="Baskerville Old Face"/>
                <w:lang w:val="en-US"/>
              </w:rPr>
              <w:t>French-English</w:t>
            </w:r>
          </w:p>
        </w:tc>
      </w:tr>
      <w:tr w:rsidR="008D4F0E" w14:paraId="20753077" w14:textId="77777777" w:rsidTr="000F014E">
        <w:tc>
          <w:tcPr>
            <w:tcW w:w="2952" w:type="dxa"/>
          </w:tcPr>
          <w:p w14:paraId="4BFACD2C" w14:textId="77777777" w:rsidR="008D4F0E" w:rsidRDefault="008D4F0E" w:rsidP="000F014E">
            <w:pPr>
              <w:jc w:val="both"/>
              <w:rPr>
                <w:rFonts w:ascii="Baskerville Old Face" w:hAnsi="Baskerville Old Face"/>
                <w:lang w:val="en-US"/>
              </w:rPr>
            </w:pPr>
          </w:p>
        </w:tc>
        <w:tc>
          <w:tcPr>
            <w:tcW w:w="2952" w:type="dxa"/>
          </w:tcPr>
          <w:p w14:paraId="6F9E0126" w14:textId="77777777" w:rsidR="008D4F0E" w:rsidRDefault="008D4F0E" w:rsidP="000F014E">
            <w:pPr>
              <w:jc w:val="both"/>
              <w:rPr>
                <w:rFonts w:ascii="Baskerville Old Face" w:hAnsi="Baskerville Old Face"/>
                <w:lang w:val="en-US"/>
              </w:rPr>
            </w:pPr>
            <w:r>
              <w:rPr>
                <w:rFonts w:ascii="Baskerville Old Face" w:hAnsi="Baskerville Old Face"/>
                <w:lang w:val="en-US"/>
              </w:rPr>
              <w:t>Phare du Bosphore</w:t>
            </w:r>
          </w:p>
          <w:p w14:paraId="1B9F0BCA" w14:textId="77777777" w:rsidR="008D4F0E" w:rsidRDefault="008D4F0E" w:rsidP="000F014E">
            <w:pPr>
              <w:jc w:val="both"/>
              <w:rPr>
                <w:rFonts w:ascii="Baskerville Old Face" w:hAnsi="Baskerville Old Face"/>
                <w:lang w:val="en-US"/>
              </w:rPr>
            </w:pPr>
            <w:r>
              <w:rPr>
                <w:rFonts w:ascii="Baskerville Old Face" w:hAnsi="Baskerville Old Face"/>
                <w:lang w:val="en-US"/>
              </w:rPr>
              <w:t>La Turquie</w:t>
            </w:r>
          </w:p>
          <w:p w14:paraId="3F93F6F6" w14:textId="77777777" w:rsidR="008D4F0E" w:rsidRDefault="008D4F0E" w:rsidP="000F014E">
            <w:pPr>
              <w:jc w:val="both"/>
              <w:rPr>
                <w:rFonts w:ascii="Baskerville Old Face" w:hAnsi="Baskerville Old Face"/>
                <w:lang w:val="en-US"/>
              </w:rPr>
            </w:pPr>
            <w:r>
              <w:rPr>
                <w:rFonts w:ascii="Baskerville Old Face" w:hAnsi="Baskerville Old Face"/>
                <w:lang w:val="en-US"/>
              </w:rPr>
              <w:t>Courrier d’Orient</w:t>
            </w:r>
          </w:p>
          <w:p w14:paraId="2A760626" w14:textId="77777777" w:rsidR="008D4F0E" w:rsidRDefault="008D4F0E" w:rsidP="000F014E">
            <w:pPr>
              <w:jc w:val="both"/>
              <w:rPr>
                <w:rFonts w:ascii="Baskerville Old Face" w:hAnsi="Baskerville Old Face"/>
                <w:lang w:val="en-US"/>
              </w:rPr>
            </w:pPr>
            <w:r>
              <w:rPr>
                <w:rFonts w:ascii="Baskerville Old Face" w:hAnsi="Baskerville Old Face"/>
                <w:lang w:val="en-US"/>
              </w:rPr>
              <w:t>Esprit</w:t>
            </w:r>
          </w:p>
        </w:tc>
        <w:tc>
          <w:tcPr>
            <w:tcW w:w="2952" w:type="dxa"/>
          </w:tcPr>
          <w:p w14:paraId="0CD69DEC" w14:textId="77777777" w:rsidR="008D4F0E" w:rsidRDefault="008D4F0E" w:rsidP="000F014E">
            <w:pPr>
              <w:jc w:val="both"/>
              <w:rPr>
                <w:rFonts w:ascii="Baskerville Old Face" w:hAnsi="Baskerville Old Face"/>
                <w:lang w:val="en-US"/>
              </w:rPr>
            </w:pPr>
            <w:r>
              <w:rPr>
                <w:rFonts w:ascii="Baskerville Old Face" w:hAnsi="Baskerville Old Face"/>
                <w:lang w:val="en-US"/>
              </w:rPr>
              <w:t>French</w:t>
            </w:r>
          </w:p>
        </w:tc>
      </w:tr>
      <w:tr w:rsidR="008D4F0E" w14:paraId="7CD19C25" w14:textId="77777777" w:rsidTr="000F014E">
        <w:tc>
          <w:tcPr>
            <w:tcW w:w="2952" w:type="dxa"/>
          </w:tcPr>
          <w:p w14:paraId="4AD114E1" w14:textId="77777777" w:rsidR="008D4F0E" w:rsidRDefault="008D4F0E" w:rsidP="000F014E">
            <w:pPr>
              <w:jc w:val="both"/>
              <w:rPr>
                <w:rFonts w:ascii="Baskerville Old Face" w:hAnsi="Baskerville Old Face"/>
                <w:lang w:val="en-US"/>
              </w:rPr>
            </w:pPr>
          </w:p>
        </w:tc>
        <w:tc>
          <w:tcPr>
            <w:tcW w:w="2952" w:type="dxa"/>
          </w:tcPr>
          <w:p w14:paraId="521AD8CC" w14:textId="77777777" w:rsidR="008D4F0E" w:rsidRDefault="008D4F0E" w:rsidP="000F014E">
            <w:pPr>
              <w:jc w:val="both"/>
              <w:rPr>
                <w:rFonts w:ascii="Baskerville Old Face" w:hAnsi="Baskerville Old Face"/>
                <w:lang w:val="en-US"/>
              </w:rPr>
            </w:pPr>
            <w:r>
              <w:rPr>
                <w:rFonts w:ascii="Baskerville Old Face" w:hAnsi="Baskerville Old Face"/>
                <w:lang w:val="en-US"/>
              </w:rPr>
              <w:t>Three dailies</w:t>
            </w:r>
          </w:p>
          <w:p w14:paraId="6AFBFAE0" w14:textId="77777777" w:rsidR="008D4F0E" w:rsidRDefault="008D4F0E" w:rsidP="000F014E">
            <w:pPr>
              <w:jc w:val="both"/>
              <w:rPr>
                <w:rFonts w:ascii="Baskerville Old Face" w:hAnsi="Baskerville Old Face"/>
                <w:lang w:val="en-US"/>
              </w:rPr>
            </w:pPr>
            <w:r>
              <w:rPr>
                <w:rFonts w:ascii="Baskerville Old Face" w:hAnsi="Baskerville Old Face"/>
                <w:lang w:val="en-US"/>
              </w:rPr>
              <w:t>Two semi-weeklies</w:t>
            </w:r>
          </w:p>
          <w:p w14:paraId="5FD44B60" w14:textId="77777777" w:rsidR="008D4F0E" w:rsidRDefault="008D4F0E" w:rsidP="000F014E">
            <w:pPr>
              <w:jc w:val="both"/>
              <w:rPr>
                <w:rFonts w:ascii="Baskerville Old Face" w:hAnsi="Baskerville Old Face"/>
                <w:lang w:val="en-US"/>
              </w:rPr>
            </w:pPr>
            <w:r>
              <w:rPr>
                <w:rFonts w:ascii="Baskerville Old Face" w:hAnsi="Baskerville Old Face"/>
                <w:lang w:val="en-US"/>
              </w:rPr>
              <w:t>Six weeklies</w:t>
            </w:r>
          </w:p>
          <w:p w14:paraId="6E5C8035" w14:textId="77777777" w:rsidR="008D4F0E" w:rsidRDefault="008D4F0E" w:rsidP="000F014E">
            <w:pPr>
              <w:jc w:val="both"/>
              <w:rPr>
                <w:rFonts w:ascii="Baskerville Old Face" w:hAnsi="Baskerville Old Face"/>
                <w:lang w:val="en-US"/>
              </w:rPr>
            </w:pPr>
          </w:p>
        </w:tc>
        <w:tc>
          <w:tcPr>
            <w:tcW w:w="2952" w:type="dxa"/>
          </w:tcPr>
          <w:p w14:paraId="6DAF6564" w14:textId="77777777" w:rsidR="008D4F0E" w:rsidRDefault="008D4F0E" w:rsidP="000F014E">
            <w:pPr>
              <w:jc w:val="both"/>
              <w:rPr>
                <w:rFonts w:ascii="Baskerville Old Face" w:hAnsi="Baskerville Old Face"/>
                <w:lang w:val="en-US"/>
              </w:rPr>
            </w:pPr>
            <w:r>
              <w:rPr>
                <w:rFonts w:ascii="Baskerville Old Face" w:hAnsi="Baskerville Old Face"/>
                <w:lang w:val="en-US"/>
              </w:rPr>
              <w:t>Armenian</w:t>
            </w:r>
          </w:p>
        </w:tc>
      </w:tr>
      <w:tr w:rsidR="008D4F0E" w14:paraId="033D185C" w14:textId="77777777" w:rsidTr="000F014E">
        <w:tc>
          <w:tcPr>
            <w:tcW w:w="2952" w:type="dxa"/>
          </w:tcPr>
          <w:p w14:paraId="10602A29" w14:textId="77777777" w:rsidR="008D4F0E" w:rsidRDefault="008D4F0E" w:rsidP="000F014E">
            <w:pPr>
              <w:jc w:val="both"/>
              <w:rPr>
                <w:rFonts w:ascii="Baskerville Old Face" w:hAnsi="Baskerville Old Face"/>
                <w:lang w:val="en-US"/>
              </w:rPr>
            </w:pPr>
          </w:p>
        </w:tc>
        <w:tc>
          <w:tcPr>
            <w:tcW w:w="2952" w:type="dxa"/>
          </w:tcPr>
          <w:p w14:paraId="543E1DF7" w14:textId="77777777" w:rsidR="008D4F0E" w:rsidRDefault="008D4F0E" w:rsidP="000F014E">
            <w:pPr>
              <w:jc w:val="both"/>
              <w:rPr>
                <w:rFonts w:ascii="Baskerville Old Face" w:hAnsi="Baskerville Old Face"/>
                <w:lang w:val="en-US"/>
              </w:rPr>
            </w:pPr>
            <w:r>
              <w:rPr>
                <w:rFonts w:ascii="Baskerville Old Face" w:hAnsi="Baskerville Old Face"/>
                <w:lang w:val="en-US"/>
              </w:rPr>
              <w:t>One daily</w:t>
            </w:r>
          </w:p>
          <w:p w14:paraId="6E1079F9" w14:textId="77777777" w:rsidR="008D4F0E" w:rsidRDefault="008D4F0E" w:rsidP="000F014E">
            <w:pPr>
              <w:jc w:val="both"/>
              <w:rPr>
                <w:rFonts w:ascii="Baskerville Old Face" w:hAnsi="Baskerville Old Face"/>
                <w:lang w:val="en-US"/>
              </w:rPr>
            </w:pPr>
            <w:r>
              <w:rPr>
                <w:rFonts w:ascii="Baskerville Old Face" w:hAnsi="Baskerville Old Face"/>
                <w:lang w:val="en-US"/>
              </w:rPr>
              <w:t>Three semi-weekly</w:t>
            </w:r>
          </w:p>
          <w:p w14:paraId="09243F38" w14:textId="77777777" w:rsidR="008D4F0E" w:rsidRDefault="008D4F0E" w:rsidP="000F014E">
            <w:pPr>
              <w:jc w:val="both"/>
              <w:rPr>
                <w:rFonts w:ascii="Baskerville Old Face" w:hAnsi="Baskerville Old Face"/>
                <w:lang w:val="en-US"/>
              </w:rPr>
            </w:pPr>
            <w:r>
              <w:rPr>
                <w:rFonts w:ascii="Baskerville Old Face" w:hAnsi="Baskerville Old Face"/>
                <w:lang w:val="en-US"/>
              </w:rPr>
              <w:t>Two papers appearing three times a week</w:t>
            </w:r>
          </w:p>
          <w:p w14:paraId="4E9A0143" w14:textId="77777777" w:rsidR="008D4F0E" w:rsidRDefault="008D4F0E" w:rsidP="000F014E">
            <w:pPr>
              <w:jc w:val="both"/>
              <w:rPr>
                <w:rFonts w:ascii="Baskerville Old Face" w:hAnsi="Baskerville Old Face"/>
                <w:lang w:val="en-US"/>
              </w:rPr>
            </w:pPr>
            <w:r>
              <w:rPr>
                <w:rFonts w:ascii="Baskerville Old Face" w:hAnsi="Baskerville Old Face"/>
                <w:lang w:val="en-US"/>
              </w:rPr>
              <w:t>One bi-weekly</w:t>
            </w:r>
          </w:p>
        </w:tc>
        <w:tc>
          <w:tcPr>
            <w:tcW w:w="2952" w:type="dxa"/>
          </w:tcPr>
          <w:p w14:paraId="052F50D8" w14:textId="77777777" w:rsidR="008D4F0E" w:rsidRDefault="008D4F0E" w:rsidP="000F014E">
            <w:pPr>
              <w:jc w:val="both"/>
              <w:rPr>
                <w:rFonts w:ascii="Baskerville Old Face" w:hAnsi="Baskerville Old Face"/>
                <w:lang w:val="en-US"/>
              </w:rPr>
            </w:pPr>
            <w:r>
              <w:rPr>
                <w:rFonts w:ascii="Baskerville Old Face" w:hAnsi="Baskerville Old Face"/>
                <w:lang w:val="en-US"/>
              </w:rPr>
              <w:t>Greek</w:t>
            </w:r>
          </w:p>
        </w:tc>
      </w:tr>
      <w:tr w:rsidR="008D4F0E" w14:paraId="7B847D65" w14:textId="77777777" w:rsidTr="000F014E">
        <w:tc>
          <w:tcPr>
            <w:tcW w:w="2952" w:type="dxa"/>
          </w:tcPr>
          <w:p w14:paraId="59DC2323" w14:textId="77777777" w:rsidR="008D4F0E" w:rsidRDefault="008D4F0E" w:rsidP="000F014E">
            <w:pPr>
              <w:jc w:val="both"/>
              <w:rPr>
                <w:rFonts w:ascii="Baskerville Old Face" w:hAnsi="Baskerville Old Face"/>
                <w:lang w:val="en-US"/>
              </w:rPr>
            </w:pPr>
          </w:p>
        </w:tc>
        <w:tc>
          <w:tcPr>
            <w:tcW w:w="2952" w:type="dxa"/>
          </w:tcPr>
          <w:p w14:paraId="6D3CEBE0" w14:textId="77777777" w:rsidR="008D4F0E" w:rsidRDefault="008D4F0E" w:rsidP="000F014E">
            <w:pPr>
              <w:jc w:val="both"/>
              <w:rPr>
                <w:rFonts w:ascii="Baskerville Old Face" w:hAnsi="Baskerville Old Face"/>
                <w:lang w:val="en-US"/>
              </w:rPr>
            </w:pPr>
            <w:r>
              <w:rPr>
                <w:rFonts w:ascii="Baskerville Old Face" w:hAnsi="Baskerville Old Face"/>
                <w:lang w:val="en-US"/>
              </w:rPr>
              <w:t>Three weeklies</w:t>
            </w:r>
          </w:p>
          <w:p w14:paraId="5531F260" w14:textId="77777777" w:rsidR="008D4F0E" w:rsidRDefault="008D4F0E" w:rsidP="000F014E">
            <w:pPr>
              <w:jc w:val="both"/>
              <w:rPr>
                <w:rFonts w:ascii="Baskerville Old Face" w:hAnsi="Baskerville Old Face"/>
                <w:lang w:val="en-US"/>
              </w:rPr>
            </w:pPr>
            <w:r>
              <w:rPr>
                <w:rFonts w:ascii="Baskerville Old Face" w:hAnsi="Baskerville Old Face"/>
                <w:lang w:val="en-US"/>
              </w:rPr>
              <w:t>A monthly</w:t>
            </w:r>
          </w:p>
          <w:p w14:paraId="782C2C68" w14:textId="77777777" w:rsidR="008D4F0E" w:rsidRDefault="008D4F0E" w:rsidP="000F014E">
            <w:pPr>
              <w:jc w:val="both"/>
              <w:rPr>
                <w:rFonts w:ascii="Baskerville Old Face" w:hAnsi="Baskerville Old Face"/>
                <w:lang w:val="en-US"/>
              </w:rPr>
            </w:pPr>
          </w:p>
        </w:tc>
        <w:tc>
          <w:tcPr>
            <w:tcW w:w="2952" w:type="dxa"/>
          </w:tcPr>
          <w:p w14:paraId="51B08253" w14:textId="77777777" w:rsidR="008D4F0E" w:rsidRDefault="008D4F0E" w:rsidP="000F014E">
            <w:pPr>
              <w:jc w:val="both"/>
              <w:rPr>
                <w:rFonts w:ascii="Baskerville Old Face" w:hAnsi="Baskerville Old Face"/>
                <w:lang w:val="en-US"/>
              </w:rPr>
            </w:pPr>
            <w:r>
              <w:rPr>
                <w:rFonts w:ascii="Baskerville Old Face" w:hAnsi="Baskerville Old Face"/>
                <w:lang w:val="en-US"/>
              </w:rPr>
              <w:t>Bulgarian</w:t>
            </w:r>
          </w:p>
        </w:tc>
      </w:tr>
      <w:tr w:rsidR="008D4F0E" w14:paraId="600E4FCA" w14:textId="77777777" w:rsidTr="000F014E">
        <w:tc>
          <w:tcPr>
            <w:tcW w:w="2952" w:type="dxa"/>
          </w:tcPr>
          <w:p w14:paraId="24CB8454" w14:textId="77777777" w:rsidR="008D4F0E" w:rsidRDefault="008D4F0E" w:rsidP="000F014E">
            <w:pPr>
              <w:jc w:val="both"/>
              <w:rPr>
                <w:rFonts w:ascii="Baskerville Old Face" w:hAnsi="Baskerville Old Face"/>
                <w:lang w:val="en-US"/>
              </w:rPr>
            </w:pPr>
          </w:p>
        </w:tc>
        <w:tc>
          <w:tcPr>
            <w:tcW w:w="2952" w:type="dxa"/>
          </w:tcPr>
          <w:p w14:paraId="2EA04F14" w14:textId="77777777" w:rsidR="008D4F0E" w:rsidRDefault="008D4F0E" w:rsidP="000F014E">
            <w:pPr>
              <w:jc w:val="both"/>
              <w:rPr>
                <w:rFonts w:ascii="Baskerville Old Face" w:hAnsi="Baskerville Old Face"/>
                <w:lang w:val="en-US"/>
              </w:rPr>
            </w:pPr>
            <w:r>
              <w:rPr>
                <w:rFonts w:ascii="Baskerville Old Face" w:hAnsi="Baskerville Old Face"/>
                <w:lang w:val="en-US"/>
              </w:rPr>
              <w:t>One weekly</w:t>
            </w:r>
          </w:p>
          <w:p w14:paraId="57066D75" w14:textId="77777777" w:rsidR="008D4F0E" w:rsidRDefault="008D4F0E" w:rsidP="000F014E">
            <w:pPr>
              <w:jc w:val="both"/>
              <w:rPr>
                <w:rFonts w:ascii="Baskerville Old Face" w:hAnsi="Baskerville Old Face"/>
                <w:lang w:val="en-US"/>
              </w:rPr>
            </w:pPr>
          </w:p>
        </w:tc>
        <w:tc>
          <w:tcPr>
            <w:tcW w:w="2952" w:type="dxa"/>
          </w:tcPr>
          <w:p w14:paraId="2CA20E60" w14:textId="77777777" w:rsidR="008D4F0E" w:rsidRDefault="008D4F0E" w:rsidP="000F014E">
            <w:pPr>
              <w:jc w:val="both"/>
              <w:rPr>
                <w:rFonts w:ascii="Baskerville Old Face" w:hAnsi="Baskerville Old Face"/>
                <w:lang w:val="en-US"/>
              </w:rPr>
            </w:pPr>
            <w:r>
              <w:rPr>
                <w:rFonts w:ascii="Baskerville Old Face" w:hAnsi="Baskerville Old Face"/>
                <w:lang w:val="en-US"/>
              </w:rPr>
              <w:t>Hebrew</w:t>
            </w:r>
          </w:p>
        </w:tc>
      </w:tr>
      <w:tr w:rsidR="008D4F0E" w14:paraId="3D578618" w14:textId="77777777" w:rsidTr="000F014E">
        <w:tc>
          <w:tcPr>
            <w:tcW w:w="2952" w:type="dxa"/>
          </w:tcPr>
          <w:p w14:paraId="2017ED33" w14:textId="77777777" w:rsidR="008D4F0E" w:rsidRDefault="008D4F0E" w:rsidP="000F014E">
            <w:pPr>
              <w:jc w:val="both"/>
              <w:rPr>
                <w:rFonts w:ascii="Baskerville Old Face" w:hAnsi="Baskerville Old Face"/>
                <w:lang w:val="en-US"/>
              </w:rPr>
            </w:pPr>
            <w:r>
              <w:rPr>
                <w:rFonts w:ascii="Baskerville Old Face" w:hAnsi="Baskerville Old Face"/>
                <w:lang w:val="en-US"/>
              </w:rPr>
              <w:t>1876</w:t>
            </w:r>
          </w:p>
          <w:p w14:paraId="50F377D2" w14:textId="77777777" w:rsidR="008D4F0E" w:rsidRDefault="008D4F0E" w:rsidP="000F014E">
            <w:pPr>
              <w:jc w:val="both"/>
              <w:rPr>
                <w:rFonts w:ascii="Baskerville Old Face" w:hAnsi="Baskerville Old Face"/>
                <w:lang w:val="en-US"/>
              </w:rPr>
            </w:pPr>
          </w:p>
          <w:p w14:paraId="27489945" w14:textId="77777777" w:rsidR="008D4F0E" w:rsidRDefault="008D4F0E" w:rsidP="000F014E">
            <w:pPr>
              <w:jc w:val="both"/>
              <w:rPr>
                <w:rFonts w:ascii="Baskerville Old Face" w:hAnsi="Baskerville Old Face"/>
                <w:lang w:val="en-US"/>
              </w:rPr>
            </w:pPr>
            <w:r>
              <w:rPr>
                <w:rFonts w:ascii="Baskerville Old Face" w:hAnsi="Baskerville Old Face"/>
                <w:lang w:val="en-US"/>
              </w:rPr>
              <w:t>Total: 47 papers in Constantinople</w:t>
            </w:r>
          </w:p>
        </w:tc>
        <w:tc>
          <w:tcPr>
            <w:tcW w:w="2952" w:type="dxa"/>
          </w:tcPr>
          <w:p w14:paraId="272CA7B6" w14:textId="77777777" w:rsidR="008D4F0E" w:rsidRDefault="008D4F0E" w:rsidP="000F014E">
            <w:pPr>
              <w:jc w:val="both"/>
              <w:rPr>
                <w:rFonts w:ascii="Baskerville Old Face" w:hAnsi="Baskerville Old Face"/>
                <w:lang w:val="en-US"/>
              </w:rPr>
            </w:pPr>
            <w:r>
              <w:rPr>
                <w:rFonts w:ascii="Baskerville Old Face" w:hAnsi="Baskerville Old Face"/>
                <w:lang w:val="en-US"/>
              </w:rPr>
              <w:t>7 dailies, 2 semi-weeklies, one weekly, one satirical weekly, one medical monthly, and an illustrated monthly = 13 papers</w:t>
            </w:r>
          </w:p>
        </w:tc>
        <w:tc>
          <w:tcPr>
            <w:tcW w:w="2952" w:type="dxa"/>
          </w:tcPr>
          <w:p w14:paraId="772ABB12" w14:textId="77777777" w:rsidR="008D4F0E" w:rsidRDefault="008D4F0E" w:rsidP="000F014E">
            <w:pPr>
              <w:jc w:val="both"/>
              <w:rPr>
                <w:rFonts w:ascii="Baskerville Old Face" w:hAnsi="Baskerville Old Face"/>
                <w:lang w:val="en-US"/>
              </w:rPr>
            </w:pPr>
            <w:r>
              <w:rPr>
                <w:rFonts w:ascii="Baskerville Old Face" w:hAnsi="Baskerville Old Face"/>
                <w:lang w:val="en-US"/>
              </w:rPr>
              <w:t>Turkish</w:t>
            </w:r>
          </w:p>
        </w:tc>
      </w:tr>
      <w:tr w:rsidR="008D4F0E" w14:paraId="5674FE0F" w14:textId="77777777" w:rsidTr="000F014E">
        <w:tc>
          <w:tcPr>
            <w:tcW w:w="2952" w:type="dxa"/>
          </w:tcPr>
          <w:p w14:paraId="61C01791" w14:textId="77777777" w:rsidR="008D4F0E" w:rsidRDefault="008D4F0E" w:rsidP="000F014E">
            <w:pPr>
              <w:jc w:val="both"/>
              <w:rPr>
                <w:rFonts w:ascii="Baskerville Old Face" w:hAnsi="Baskerville Old Face"/>
                <w:lang w:val="en-US"/>
              </w:rPr>
            </w:pPr>
          </w:p>
        </w:tc>
        <w:tc>
          <w:tcPr>
            <w:tcW w:w="2952" w:type="dxa"/>
          </w:tcPr>
          <w:p w14:paraId="2154EF24" w14:textId="77777777" w:rsidR="008D4F0E" w:rsidRDefault="008D4F0E" w:rsidP="000F014E">
            <w:pPr>
              <w:jc w:val="both"/>
              <w:rPr>
                <w:rFonts w:ascii="Baskerville Old Face" w:hAnsi="Baskerville Old Face"/>
                <w:lang w:val="en-US"/>
              </w:rPr>
            </w:pPr>
            <w:r>
              <w:rPr>
                <w:rFonts w:ascii="Baskerville Old Face" w:hAnsi="Baskerville Old Face"/>
                <w:lang w:val="en-US"/>
              </w:rPr>
              <w:t xml:space="preserve">9 </w:t>
            </w:r>
          </w:p>
        </w:tc>
        <w:tc>
          <w:tcPr>
            <w:tcW w:w="2952" w:type="dxa"/>
          </w:tcPr>
          <w:p w14:paraId="52670D45" w14:textId="77777777" w:rsidR="008D4F0E" w:rsidRDefault="008D4F0E" w:rsidP="000F014E">
            <w:pPr>
              <w:jc w:val="both"/>
              <w:rPr>
                <w:rFonts w:ascii="Baskerville Old Face" w:hAnsi="Baskerville Old Face"/>
                <w:lang w:val="en-US"/>
              </w:rPr>
            </w:pPr>
            <w:r>
              <w:rPr>
                <w:rFonts w:ascii="Baskerville Old Face" w:hAnsi="Baskerville Old Face"/>
                <w:lang w:val="en-US"/>
              </w:rPr>
              <w:t>Greek</w:t>
            </w:r>
          </w:p>
        </w:tc>
      </w:tr>
      <w:tr w:rsidR="008D4F0E" w14:paraId="27E5EB71" w14:textId="77777777" w:rsidTr="000F014E">
        <w:tc>
          <w:tcPr>
            <w:tcW w:w="2952" w:type="dxa"/>
          </w:tcPr>
          <w:p w14:paraId="6143782A" w14:textId="77777777" w:rsidR="008D4F0E" w:rsidRDefault="008D4F0E" w:rsidP="000F014E">
            <w:pPr>
              <w:jc w:val="both"/>
              <w:rPr>
                <w:rFonts w:ascii="Baskerville Old Face" w:hAnsi="Baskerville Old Face"/>
                <w:lang w:val="en-US"/>
              </w:rPr>
            </w:pPr>
          </w:p>
        </w:tc>
        <w:tc>
          <w:tcPr>
            <w:tcW w:w="2952" w:type="dxa"/>
          </w:tcPr>
          <w:p w14:paraId="7465C09E" w14:textId="77777777" w:rsidR="008D4F0E" w:rsidRDefault="008D4F0E" w:rsidP="000F014E">
            <w:pPr>
              <w:jc w:val="both"/>
              <w:rPr>
                <w:rFonts w:ascii="Baskerville Old Face" w:hAnsi="Baskerville Old Face"/>
                <w:lang w:val="en-US"/>
              </w:rPr>
            </w:pPr>
            <w:r>
              <w:rPr>
                <w:rFonts w:ascii="Baskerville Old Face" w:hAnsi="Baskerville Old Face"/>
                <w:lang w:val="en-US"/>
              </w:rPr>
              <w:t xml:space="preserve">9 </w:t>
            </w:r>
          </w:p>
        </w:tc>
        <w:tc>
          <w:tcPr>
            <w:tcW w:w="2952" w:type="dxa"/>
          </w:tcPr>
          <w:p w14:paraId="7E9B53AC" w14:textId="77777777" w:rsidR="008D4F0E" w:rsidRDefault="008D4F0E" w:rsidP="000F014E">
            <w:pPr>
              <w:jc w:val="both"/>
              <w:rPr>
                <w:rFonts w:ascii="Baskerville Old Face" w:hAnsi="Baskerville Old Face"/>
                <w:lang w:val="en-US"/>
              </w:rPr>
            </w:pPr>
            <w:r>
              <w:rPr>
                <w:rFonts w:ascii="Baskerville Old Face" w:hAnsi="Baskerville Old Face"/>
                <w:lang w:val="en-US"/>
              </w:rPr>
              <w:t>Armenian</w:t>
            </w:r>
          </w:p>
        </w:tc>
      </w:tr>
      <w:tr w:rsidR="008D4F0E" w14:paraId="00203E86" w14:textId="77777777" w:rsidTr="000F014E">
        <w:tc>
          <w:tcPr>
            <w:tcW w:w="2952" w:type="dxa"/>
          </w:tcPr>
          <w:p w14:paraId="3A860E91" w14:textId="77777777" w:rsidR="008D4F0E" w:rsidRDefault="008D4F0E" w:rsidP="000F014E">
            <w:pPr>
              <w:jc w:val="both"/>
              <w:rPr>
                <w:rFonts w:ascii="Baskerville Old Face" w:hAnsi="Baskerville Old Face"/>
                <w:lang w:val="en-US"/>
              </w:rPr>
            </w:pPr>
          </w:p>
        </w:tc>
        <w:tc>
          <w:tcPr>
            <w:tcW w:w="2952" w:type="dxa"/>
          </w:tcPr>
          <w:p w14:paraId="43E99336" w14:textId="77777777" w:rsidR="008D4F0E" w:rsidRDefault="008D4F0E" w:rsidP="000F014E">
            <w:pPr>
              <w:jc w:val="both"/>
              <w:rPr>
                <w:rFonts w:ascii="Baskerville Old Face" w:hAnsi="Baskerville Old Face"/>
                <w:lang w:val="en-US"/>
              </w:rPr>
            </w:pPr>
            <w:r>
              <w:rPr>
                <w:rFonts w:ascii="Baskerville Old Face" w:hAnsi="Baskerville Old Face"/>
                <w:lang w:val="en-US"/>
              </w:rPr>
              <w:t>7</w:t>
            </w:r>
          </w:p>
        </w:tc>
        <w:tc>
          <w:tcPr>
            <w:tcW w:w="2952" w:type="dxa"/>
          </w:tcPr>
          <w:p w14:paraId="72C163D8" w14:textId="77777777" w:rsidR="008D4F0E" w:rsidRDefault="008D4F0E" w:rsidP="000F014E">
            <w:pPr>
              <w:jc w:val="both"/>
              <w:rPr>
                <w:rFonts w:ascii="Baskerville Old Face" w:hAnsi="Baskerville Old Face"/>
                <w:lang w:val="en-US"/>
              </w:rPr>
            </w:pPr>
            <w:r>
              <w:rPr>
                <w:rFonts w:ascii="Baskerville Old Face" w:hAnsi="Baskerville Old Face"/>
                <w:lang w:val="en-US"/>
              </w:rPr>
              <w:t>French</w:t>
            </w:r>
          </w:p>
        </w:tc>
      </w:tr>
      <w:tr w:rsidR="008D4F0E" w14:paraId="714F06BF" w14:textId="77777777" w:rsidTr="000F014E">
        <w:tc>
          <w:tcPr>
            <w:tcW w:w="2952" w:type="dxa"/>
          </w:tcPr>
          <w:p w14:paraId="700B4144" w14:textId="77777777" w:rsidR="008D4F0E" w:rsidRDefault="008D4F0E" w:rsidP="000F014E">
            <w:pPr>
              <w:jc w:val="both"/>
              <w:rPr>
                <w:rFonts w:ascii="Baskerville Old Face" w:hAnsi="Baskerville Old Face"/>
                <w:lang w:val="en-US"/>
              </w:rPr>
            </w:pPr>
          </w:p>
        </w:tc>
        <w:tc>
          <w:tcPr>
            <w:tcW w:w="2952" w:type="dxa"/>
          </w:tcPr>
          <w:p w14:paraId="7AD3BC72" w14:textId="77777777" w:rsidR="008D4F0E" w:rsidRDefault="008D4F0E" w:rsidP="000F014E">
            <w:pPr>
              <w:jc w:val="both"/>
              <w:rPr>
                <w:rFonts w:ascii="Baskerville Old Face" w:hAnsi="Baskerville Old Face"/>
                <w:lang w:val="en-US"/>
              </w:rPr>
            </w:pPr>
            <w:r>
              <w:rPr>
                <w:rFonts w:ascii="Baskerville Old Face" w:hAnsi="Baskerville Old Face"/>
                <w:lang w:val="en-US"/>
              </w:rPr>
              <w:t>3</w:t>
            </w:r>
          </w:p>
        </w:tc>
        <w:tc>
          <w:tcPr>
            <w:tcW w:w="2952" w:type="dxa"/>
          </w:tcPr>
          <w:p w14:paraId="27F15B79" w14:textId="77777777" w:rsidR="008D4F0E" w:rsidRDefault="008D4F0E" w:rsidP="000F014E">
            <w:pPr>
              <w:jc w:val="both"/>
              <w:rPr>
                <w:rFonts w:ascii="Baskerville Old Face" w:hAnsi="Baskerville Old Face"/>
                <w:lang w:val="en-US"/>
              </w:rPr>
            </w:pPr>
            <w:r>
              <w:rPr>
                <w:rFonts w:ascii="Baskerville Old Face" w:hAnsi="Baskerville Old Face"/>
                <w:lang w:val="en-US"/>
              </w:rPr>
              <w:t>Bulgarian</w:t>
            </w:r>
          </w:p>
        </w:tc>
      </w:tr>
      <w:tr w:rsidR="008D4F0E" w14:paraId="68C9A543" w14:textId="77777777" w:rsidTr="000F014E">
        <w:tc>
          <w:tcPr>
            <w:tcW w:w="2952" w:type="dxa"/>
          </w:tcPr>
          <w:p w14:paraId="7FC2CCC3" w14:textId="77777777" w:rsidR="008D4F0E" w:rsidRDefault="008D4F0E" w:rsidP="000F014E">
            <w:pPr>
              <w:jc w:val="both"/>
              <w:rPr>
                <w:rFonts w:ascii="Baskerville Old Face" w:hAnsi="Baskerville Old Face"/>
                <w:lang w:val="en-US"/>
              </w:rPr>
            </w:pPr>
          </w:p>
        </w:tc>
        <w:tc>
          <w:tcPr>
            <w:tcW w:w="2952" w:type="dxa"/>
          </w:tcPr>
          <w:p w14:paraId="6F364CF3" w14:textId="77777777" w:rsidR="008D4F0E" w:rsidRDefault="008D4F0E" w:rsidP="000F014E">
            <w:pPr>
              <w:jc w:val="both"/>
              <w:rPr>
                <w:rFonts w:ascii="Baskerville Old Face" w:hAnsi="Baskerville Old Face"/>
                <w:lang w:val="en-US"/>
              </w:rPr>
            </w:pPr>
            <w:r>
              <w:rPr>
                <w:rFonts w:ascii="Baskerville Old Face" w:hAnsi="Baskerville Old Face"/>
                <w:lang w:val="en-US"/>
              </w:rPr>
              <w:t>2</w:t>
            </w:r>
          </w:p>
        </w:tc>
        <w:tc>
          <w:tcPr>
            <w:tcW w:w="2952" w:type="dxa"/>
          </w:tcPr>
          <w:p w14:paraId="1132E6B7" w14:textId="77777777" w:rsidR="008D4F0E" w:rsidRDefault="008D4F0E" w:rsidP="000F014E">
            <w:pPr>
              <w:jc w:val="both"/>
              <w:rPr>
                <w:rFonts w:ascii="Baskerville Old Face" w:hAnsi="Baskerville Old Face"/>
                <w:lang w:val="en-US"/>
              </w:rPr>
            </w:pPr>
            <w:r>
              <w:rPr>
                <w:rFonts w:ascii="Baskerville Old Face" w:hAnsi="Baskerville Old Face"/>
                <w:lang w:val="en-US"/>
              </w:rPr>
              <w:t>English</w:t>
            </w:r>
          </w:p>
        </w:tc>
      </w:tr>
      <w:tr w:rsidR="008D4F0E" w14:paraId="02374FEB" w14:textId="77777777" w:rsidTr="000F014E">
        <w:tc>
          <w:tcPr>
            <w:tcW w:w="2952" w:type="dxa"/>
          </w:tcPr>
          <w:p w14:paraId="1AD5F0AE" w14:textId="77777777" w:rsidR="008D4F0E" w:rsidRDefault="008D4F0E" w:rsidP="000F014E">
            <w:pPr>
              <w:jc w:val="both"/>
              <w:rPr>
                <w:rFonts w:ascii="Baskerville Old Face" w:hAnsi="Baskerville Old Face"/>
                <w:lang w:val="en-US"/>
              </w:rPr>
            </w:pPr>
          </w:p>
        </w:tc>
        <w:tc>
          <w:tcPr>
            <w:tcW w:w="2952" w:type="dxa"/>
          </w:tcPr>
          <w:p w14:paraId="1C7F07EC" w14:textId="77777777" w:rsidR="008D4F0E" w:rsidRDefault="008D4F0E" w:rsidP="000F014E">
            <w:pPr>
              <w:jc w:val="both"/>
              <w:rPr>
                <w:rFonts w:ascii="Baskerville Old Face" w:hAnsi="Baskerville Old Face"/>
                <w:lang w:val="en-US"/>
              </w:rPr>
            </w:pPr>
            <w:r>
              <w:rPr>
                <w:rFonts w:ascii="Baskerville Old Face" w:hAnsi="Baskerville Old Face"/>
                <w:lang w:val="en-US"/>
              </w:rPr>
              <w:t>2</w:t>
            </w:r>
          </w:p>
        </w:tc>
        <w:tc>
          <w:tcPr>
            <w:tcW w:w="2952" w:type="dxa"/>
          </w:tcPr>
          <w:p w14:paraId="505FB1DD" w14:textId="77777777" w:rsidR="008D4F0E" w:rsidRDefault="008D4F0E" w:rsidP="000F014E">
            <w:pPr>
              <w:jc w:val="both"/>
              <w:rPr>
                <w:rFonts w:ascii="Baskerville Old Face" w:hAnsi="Baskerville Old Face"/>
                <w:lang w:val="en-US"/>
              </w:rPr>
            </w:pPr>
            <w:r>
              <w:rPr>
                <w:rFonts w:ascii="Baskerville Old Face" w:hAnsi="Baskerville Old Face"/>
                <w:lang w:val="en-US"/>
              </w:rPr>
              <w:t>Hebrew</w:t>
            </w:r>
          </w:p>
        </w:tc>
      </w:tr>
      <w:tr w:rsidR="008D4F0E" w14:paraId="1E2F3B42" w14:textId="77777777" w:rsidTr="000F014E">
        <w:tc>
          <w:tcPr>
            <w:tcW w:w="2952" w:type="dxa"/>
          </w:tcPr>
          <w:p w14:paraId="1F019BAD" w14:textId="77777777" w:rsidR="008D4F0E" w:rsidRDefault="008D4F0E" w:rsidP="000F014E">
            <w:pPr>
              <w:jc w:val="both"/>
              <w:rPr>
                <w:rFonts w:ascii="Baskerville Old Face" w:hAnsi="Baskerville Old Face"/>
                <w:lang w:val="en-US"/>
              </w:rPr>
            </w:pPr>
          </w:p>
        </w:tc>
        <w:tc>
          <w:tcPr>
            <w:tcW w:w="2952" w:type="dxa"/>
          </w:tcPr>
          <w:p w14:paraId="1BBE0342" w14:textId="77777777" w:rsidR="008D4F0E" w:rsidRDefault="008D4F0E" w:rsidP="000F014E">
            <w:pPr>
              <w:jc w:val="both"/>
              <w:rPr>
                <w:rFonts w:ascii="Baskerville Old Face" w:hAnsi="Baskerville Old Face"/>
                <w:lang w:val="en-US"/>
              </w:rPr>
            </w:pPr>
            <w:r>
              <w:rPr>
                <w:rFonts w:ascii="Baskerville Old Face" w:hAnsi="Baskerville Old Face"/>
                <w:lang w:val="en-US"/>
              </w:rPr>
              <w:t>1</w:t>
            </w:r>
          </w:p>
        </w:tc>
        <w:tc>
          <w:tcPr>
            <w:tcW w:w="2952" w:type="dxa"/>
          </w:tcPr>
          <w:p w14:paraId="638FC96D" w14:textId="77777777" w:rsidR="008D4F0E" w:rsidRDefault="008D4F0E" w:rsidP="000F014E">
            <w:pPr>
              <w:jc w:val="both"/>
              <w:rPr>
                <w:rFonts w:ascii="Baskerville Old Face" w:hAnsi="Baskerville Old Face"/>
                <w:lang w:val="en-US"/>
              </w:rPr>
            </w:pPr>
            <w:r>
              <w:rPr>
                <w:rFonts w:ascii="Baskerville Old Face" w:hAnsi="Baskerville Old Face"/>
                <w:lang w:val="en-US"/>
              </w:rPr>
              <w:t>German</w:t>
            </w:r>
          </w:p>
        </w:tc>
      </w:tr>
      <w:tr w:rsidR="008D4F0E" w14:paraId="6423BCB6" w14:textId="77777777" w:rsidTr="000F014E">
        <w:tc>
          <w:tcPr>
            <w:tcW w:w="2952" w:type="dxa"/>
          </w:tcPr>
          <w:p w14:paraId="15011298" w14:textId="77777777" w:rsidR="008D4F0E" w:rsidRDefault="008D4F0E" w:rsidP="000F014E">
            <w:pPr>
              <w:jc w:val="both"/>
              <w:rPr>
                <w:rFonts w:ascii="Baskerville Old Face" w:hAnsi="Baskerville Old Face"/>
                <w:lang w:val="en-US"/>
              </w:rPr>
            </w:pPr>
          </w:p>
        </w:tc>
        <w:tc>
          <w:tcPr>
            <w:tcW w:w="2952" w:type="dxa"/>
          </w:tcPr>
          <w:p w14:paraId="65330CDC" w14:textId="77777777" w:rsidR="008D4F0E" w:rsidRDefault="008D4F0E" w:rsidP="000F014E">
            <w:pPr>
              <w:jc w:val="both"/>
              <w:rPr>
                <w:rFonts w:ascii="Baskerville Old Face" w:hAnsi="Baskerville Old Face"/>
                <w:lang w:val="en-US"/>
              </w:rPr>
            </w:pPr>
            <w:r>
              <w:rPr>
                <w:rFonts w:ascii="Baskerville Old Face" w:hAnsi="Baskerville Old Face"/>
                <w:lang w:val="en-US"/>
              </w:rPr>
              <w:t xml:space="preserve">1 </w:t>
            </w:r>
          </w:p>
        </w:tc>
        <w:tc>
          <w:tcPr>
            <w:tcW w:w="2952" w:type="dxa"/>
          </w:tcPr>
          <w:p w14:paraId="7281443D" w14:textId="77777777" w:rsidR="008D4F0E" w:rsidRDefault="008D4F0E" w:rsidP="000F014E">
            <w:pPr>
              <w:jc w:val="both"/>
              <w:rPr>
                <w:rFonts w:ascii="Baskerville Old Face" w:hAnsi="Baskerville Old Face"/>
                <w:lang w:val="en-US"/>
              </w:rPr>
            </w:pPr>
            <w:r>
              <w:rPr>
                <w:rFonts w:ascii="Baskerville Old Face" w:hAnsi="Baskerville Old Face"/>
                <w:lang w:val="en-US"/>
              </w:rPr>
              <w:t>Arabic</w:t>
            </w:r>
          </w:p>
        </w:tc>
      </w:tr>
    </w:tbl>
    <w:p w14:paraId="4A0B8954"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Source: </w:t>
      </w:r>
      <w:r w:rsidRPr="002E5775">
        <w:rPr>
          <w:rFonts w:ascii="Baskerville Old Face" w:hAnsi="Baskerville Old Face"/>
        </w:rPr>
        <w:t xml:space="preserve">Yalman, </w:t>
      </w:r>
      <w:r w:rsidRPr="002E5775">
        <w:rPr>
          <w:rFonts w:ascii="Baskerville Old Face" w:hAnsi="Baskerville Old Face"/>
          <w:i/>
          <w:iCs/>
        </w:rPr>
        <w:t>The Development of Modern Turkey as Measured by Its Press</w:t>
      </w:r>
      <w:r>
        <w:rPr>
          <w:rFonts w:ascii="Baskerville Old Face" w:hAnsi="Baskerville Old Face"/>
          <w:i/>
          <w:iCs/>
        </w:rPr>
        <w:t xml:space="preserve">, </w:t>
      </w:r>
      <w:r w:rsidRPr="002E5775">
        <w:rPr>
          <w:rFonts w:ascii="Baskerville Old Face" w:hAnsi="Baskerville Old Face"/>
          <w:iCs/>
        </w:rPr>
        <w:t>p.41</w:t>
      </w:r>
      <w:r>
        <w:rPr>
          <w:rFonts w:ascii="Baskerville Old Face" w:hAnsi="Baskerville Old Face"/>
          <w:i/>
          <w:iCs/>
        </w:rPr>
        <w:t>.</w:t>
      </w:r>
    </w:p>
    <w:p w14:paraId="37A034FB" w14:textId="77777777" w:rsidR="008D4F0E" w:rsidRDefault="008D4F0E" w:rsidP="008D4F0E">
      <w:pPr>
        <w:jc w:val="both"/>
        <w:rPr>
          <w:rFonts w:ascii="Baskerville Old Face" w:hAnsi="Baskerville Old Face"/>
          <w:lang w:val="en-US"/>
        </w:rPr>
      </w:pPr>
    </w:p>
    <w:p w14:paraId="181D5661"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How effective was the strategy of going to masses? Major papers circulated in the capital and some urban areas such as Izmir. Certain Balkan regions had local papers, such as, </w:t>
      </w:r>
      <w:r w:rsidRPr="00006313">
        <w:rPr>
          <w:rFonts w:ascii="Baskerville Old Face" w:hAnsi="Baskerville Old Face"/>
          <w:i/>
          <w:lang w:val="en-US"/>
        </w:rPr>
        <w:t xml:space="preserve">Tona </w:t>
      </w:r>
      <w:r>
        <w:rPr>
          <w:rFonts w:ascii="Baskerville Old Face" w:hAnsi="Baskerville Old Face"/>
          <w:lang w:val="en-US"/>
        </w:rPr>
        <w:t>in Danubia province (Bulgaria) appearing both in Turkish and Bulgarian. Also, intellectuals exiled in provincial areas attempted to publish papers. However, such activities had a limited scope.</w:t>
      </w:r>
      <w:r w:rsidRPr="00100777">
        <w:rPr>
          <w:rStyle w:val="FootnoteReference"/>
        </w:rPr>
        <w:footnoteReference w:id="18"/>
      </w:r>
      <w:r>
        <w:rPr>
          <w:rFonts w:ascii="Baskerville Old Face" w:hAnsi="Baskerville Old Face"/>
          <w:lang w:val="en-US"/>
        </w:rPr>
        <w:t xml:space="preserve"> </w:t>
      </w:r>
    </w:p>
    <w:p w14:paraId="38878EDF" w14:textId="77777777" w:rsidR="008D4F0E" w:rsidRDefault="008D4F0E" w:rsidP="008D4F0E">
      <w:pPr>
        <w:jc w:val="both"/>
        <w:rPr>
          <w:rFonts w:ascii="Baskerville Old Face" w:hAnsi="Baskerville Old Face"/>
          <w:lang w:val="en-US"/>
        </w:rPr>
      </w:pPr>
    </w:p>
    <w:p w14:paraId="4380CD5D" w14:textId="77777777" w:rsidR="008D4F0E" w:rsidRDefault="008D4F0E" w:rsidP="008D4F0E">
      <w:pPr>
        <w:jc w:val="both"/>
        <w:rPr>
          <w:rFonts w:ascii="Baskerville Old Face" w:hAnsi="Baskerville Old Face"/>
          <w:lang w:val="en-US"/>
        </w:rPr>
      </w:pPr>
      <w:r>
        <w:rPr>
          <w:rFonts w:ascii="Baskerville Old Face" w:hAnsi="Baskerville Old Face"/>
          <w:lang w:val="en-US"/>
        </w:rPr>
        <w:t>What was the demand like at the time? Until 1876, all papers were sold at a fixed price: one piaster. It should also be remembered that the majority of the population was still illiterate, while the literate segment was highly educated. Although those who could purchase and read papers seemed to comprise a narrow set of the population, newspapers reached beyond that subset. One copy would be read in public at coffeehouses and evening gatherings of neighbors. Thus, those that were illiterate and/or could not afford a paper also had access to information. Nevertheless, the diffusion effect confined to urban areas.</w:t>
      </w:r>
      <w:r w:rsidRPr="00100777">
        <w:rPr>
          <w:rStyle w:val="FootnoteReference"/>
        </w:rPr>
        <w:footnoteReference w:id="19"/>
      </w:r>
      <w:r>
        <w:rPr>
          <w:rFonts w:ascii="Baskerville Old Face" w:hAnsi="Baskerville Old Face"/>
          <w:lang w:val="en-US"/>
        </w:rPr>
        <w:t xml:space="preserve"> With such a restricted readership, papers had to sustain themselves. After 1871, newspaper owners also owned a printing house. Most of them received financing from Armenian and Greek entrepreneurs. Journalists were generally underpaid.</w:t>
      </w:r>
    </w:p>
    <w:p w14:paraId="3F534625" w14:textId="77777777" w:rsidR="008D4F0E" w:rsidRDefault="008D4F0E" w:rsidP="008D4F0E">
      <w:pPr>
        <w:jc w:val="both"/>
        <w:rPr>
          <w:rFonts w:ascii="Baskerville Old Face" w:hAnsi="Baskerville Old Face"/>
          <w:lang w:val="en-US"/>
        </w:rPr>
      </w:pPr>
    </w:p>
    <w:p w14:paraId="78B6DFB7" w14:textId="77777777" w:rsidR="008D4F0E" w:rsidRPr="00D84A2C" w:rsidRDefault="008D4F0E" w:rsidP="008D4F0E">
      <w:pPr>
        <w:jc w:val="both"/>
        <w:rPr>
          <w:rFonts w:ascii="Baskerville Old Face" w:hAnsi="Baskerville Old Face"/>
          <w:i/>
          <w:color w:val="ED7D31" w:themeColor="accent2"/>
          <w:lang w:val="en-US"/>
        </w:rPr>
      </w:pPr>
      <w:r w:rsidRPr="00D84A2C">
        <w:rPr>
          <w:rFonts w:ascii="Baskerville Old Face" w:hAnsi="Baskerville Old Face"/>
          <w:i/>
          <w:color w:val="ED7D31" w:themeColor="accent2"/>
          <w:lang w:val="en-US"/>
        </w:rPr>
        <w:t xml:space="preserve">Editorials channeled the tendency of the paper. Papers only treated news that concerning public life, e.g. infant mortality, hygiene, conditions of soldiers. Journalists of the period aimed to convey moral messages. </w:t>
      </w:r>
    </w:p>
    <w:p w14:paraId="1AB16D5D" w14:textId="77777777" w:rsidR="008D4F0E" w:rsidRDefault="008D4F0E" w:rsidP="008D4F0E">
      <w:pPr>
        <w:jc w:val="both"/>
        <w:rPr>
          <w:rFonts w:ascii="Baskerville Old Face" w:hAnsi="Baskerville Old Face"/>
          <w:lang w:val="en-US"/>
        </w:rPr>
      </w:pPr>
    </w:p>
    <w:p w14:paraId="23BD4242"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In 1870, Young Ottomans returned </w:t>
      </w:r>
      <w:r w:rsidRPr="00B80939">
        <w:rPr>
          <w:rFonts w:ascii="Baskerville Old Face" w:hAnsi="Baskerville Old Face"/>
          <w:lang w:val="en-US"/>
        </w:rPr>
        <w:t xml:space="preserve">to </w:t>
      </w:r>
      <w:r>
        <w:rPr>
          <w:rFonts w:ascii="Baskerville Old Face" w:hAnsi="Baskerville Old Face"/>
          <w:lang w:val="en-US"/>
        </w:rPr>
        <w:t xml:space="preserve">Istanbul. The majority resumed their activities, with the exception of </w:t>
      </w:r>
      <w:r w:rsidRPr="005C454F">
        <w:rPr>
          <w:rFonts w:ascii="Times New Roman" w:hAnsi="Times New Roman" w:cs="Times New Roman"/>
          <w:lang w:val="en-US"/>
        </w:rPr>
        <w:t>Ş</w:t>
      </w:r>
      <w:r w:rsidRPr="005C454F">
        <w:rPr>
          <w:rFonts w:ascii="Baskerville Old Face" w:hAnsi="Baskerville Old Face"/>
          <w:lang w:val="en-US"/>
        </w:rPr>
        <w:t>inasi</w:t>
      </w:r>
      <w:r>
        <w:rPr>
          <w:rFonts w:ascii="Baskerville Old Face" w:hAnsi="Baskerville Old Face"/>
          <w:lang w:val="en-US"/>
        </w:rPr>
        <w:t>.</w:t>
      </w:r>
      <w:r w:rsidRPr="00100777">
        <w:rPr>
          <w:rStyle w:val="FootnoteReference"/>
        </w:rPr>
        <w:footnoteReference w:id="20"/>
      </w:r>
      <w:r>
        <w:rPr>
          <w:rFonts w:ascii="Baskerville Old Face" w:hAnsi="Baskerville Old Face"/>
          <w:lang w:val="en-US"/>
        </w:rPr>
        <w:t xml:space="preserve"> Namik Kemal’s 1873 article entitled ‘Türkçe Matbuat’ (The press in Turkish) published in </w:t>
      </w:r>
      <w:r w:rsidRPr="001C4C6F">
        <w:rPr>
          <w:rFonts w:ascii="Baskerville Old Face" w:hAnsi="Baskerville Old Face"/>
          <w:i/>
          <w:lang w:val="en-US"/>
        </w:rPr>
        <w:t>Ibret</w:t>
      </w:r>
      <w:r>
        <w:rPr>
          <w:rFonts w:ascii="Baskerville Old Face" w:hAnsi="Baskerville Old Face"/>
          <w:lang w:val="en-US"/>
        </w:rPr>
        <w:t xml:space="preserve"> criticized aggravating censorship since Mahmud II’s reign. The government retaliated by adopting pre-publication censorship on March 27, 1876. The regulation was officially justified by the ‘importance of the contemporary situation’ (ahval-i haziranin ehemmiyeti).</w:t>
      </w:r>
      <w:r w:rsidRPr="00100777">
        <w:rPr>
          <w:rStyle w:val="FootnoteReference"/>
        </w:rPr>
        <w:footnoteReference w:id="21"/>
      </w:r>
      <w:r>
        <w:rPr>
          <w:rFonts w:ascii="Baskerville Old Face" w:hAnsi="Baskerville Old Face"/>
          <w:lang w:val="en-US"/>
        </w:rPr>
        <w:t xml:space="preserve"> The Empire was about to enter a war against Russia from which it would suffer a heavy defeat. </w:t>
      </w:r>
    </w:p>
    <w:p w14:paraId="2EA39DAB" w14:textId="77777777" w:rsidR="008D4F0E" w:rsidRDefault="008D4F0E" w:rsidP="008D4F0E">
      <w:pPr>
        <w:jc w:val="both"/>
        <w:rPr>
          <w:rFonts w:ascii="Baskerville Old Face" w:hAnsi="Baskerville Old Face"/>
          <w:lang w:val="en-US"/>
        </w:rPr>
      </w:pPr>
    </w:p>
    <w:p w14:paraId="55E46BBB"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Overall, during the Tanzimat Era, 12 papers were either suspended or </w:t>
      </w:r>
      <w:r>
        <w:rPr>
          <w:rFonts w:ascii="Baskerville Old Face" w:hAnsi="Baskerville Old Face"/>
          <w:lang w:val="en-US"/>
        </w:rPr>
        <w:t>closed</w:t>
      </w:r>
      <w:r>
        <w:rPr>
          <w:rFonts w:ascii="Baskerville Old Face" w:hAnsi="Baskerville Old Face"/>
          <w:lang w:val="en-US"/>
        </w:rPr>
        <w:t>; the 10 papers published abroad operated under censorship; Ziya Pasha, Ebuzziya Tevfik, Ali Suavi and Mithat Pasha were exiled for opposing the regime.</w:t>
      </w:r>
      <w:r w:rsidRPr="00100777">
        <w:rPr>
          <w:rStyle w:val="FootnoteReference"/>
        </w:rPr>
        <w:footnoteReference w:id="22"/>
      </w:r>
      <w:r>
        <w:rPr>
          <w:rFonts w:ascii="Baskerville Old Face" w:hAnsi="Baskerville Old Face"/>
          <w:lang w:val="en-US"/>
        </w:rPr>
        <w:t xml:space="preserve"> Sultan Murat V, enthroned in May 1876, pardoned these four journalists. In August 1876, Sultan Abdulhamit II took the throne and vowed fidelity to </w:t>
      </w:r>
      <w:r w:rsidRPr="007C69A1">
        <w:rPr>
          <w:rFonts w:ascii="Baskerville Old Face" w:hAnsi="Baskerville Old Face"/>
          <w:i/>
          <w:lang w:val="en-US"/>
        </w:rPr>
        <w:t>Kanuni-Esasi</w:t>
      </w:r>
      <w:r>
        <w:rPr>
          <w:rFonts w:ascii="Baskerville Old Face" w:hAnsi="Baskerville Old Face"/>
          <w:i/>
          <w:lang w:val="en-US"/>
        </w:rPr>
        <w:t>,</w:t>
      </w:r>
      <w:r>
        <w:rPr>
          <w:rFonts w:ascii="Baskerville Old Face" w:hAnsi="Baskerville Old Face"/>
          <w:lang w:val="en-US"/>
        </w:rPr>
        <w:t xml:space="preserve"> the Constitution. </w:t>
      </w:r>
      <w:r w:rsidRPr="007C69A1">
        <w:rPr>
          <w:rFonts w:ascii="Baskerville Old Face" w:hAnsi="Baskerville Old Face"/>
          <w:i/>
          <w:lang w:val="en-US"/>
        </w:rPr>
        <w:t>Kanuni-Esasi</w:t>
      </w:r>
      <w:r>
        <w:rPr>
          <w:rFonts w:ascii="Baskerville Old Face" w:hAnsi="Baskerville Old Face"/>
          <w:i/>
          <w:lang w:val="en-US"/>
        </w:rPr>
        <w:t xml:space="preserve"> </w:t>
      </w:r>
      <w:r>
        <w:rPr>
          <w:rFonts w:ascii="Baskerville Old Face" w:hAnsi="Baskerville Old Face"/>
          <w:lang w:val="en-US"/>
        </w:rPr>
        <w:t>let the press free within the confines of the law.</w:t>
      </w:r>
      <w:r w:rsidRPr="00100777">
        <w:rPr>
          <w:rStyle w:val="FootnoteReference"/>
        </w:rPr>
        <w:footnoteReference w:id="23"/>
      </w:r>
      <w:r>
        <w:rPr>
          <w:rFonts w:ascii="Baskerville Old Face" w:hAnsi="Baskerville Old Face"/>
          <w:lang w:val="en-US"/>
        </w:rPr>
        <w:t xml:space="preserve"> Abdulhamit II appointed Namik Kemal to the State Council. He assigned Ziya Pasha, Ebuzziya Tevfik and Ali Suavi to the Bureau of translation. Ziya Pasha and Mithat Pasha were also admitted to the constitutional committee.</w:t>
      </w:r>
      <w:r w:rsidRPr="00C41EEC">
        <w:rPr>
          <w:rStyle w:val="FootnoteReference"/>
          <w:rFonts w:ascii="Baskerville Old Face" w:hAnsi="Baskerville Old Face"/>
          <w:lang w:val="en-US"/>
        </w:rPr>
        <w:t xml:space="preserve"> </w:t>
      </w:r>
      <w:r>
        <w:rPr>
          <w:rFonts w:ascii="Baskerville Old Face" w:hAnsi="Baskerville Old Face"/>
          <w:lang w:val="en-US"/>
        </w:rPr>
        <w:t>Mithat Pasha prepared a modern press law.</w:t>
      </w:r>
      <w:r w:rsidRPr="00100777">
        <w:rPr>
          <w:rStyle w:val="FootnoteReference"/>
        </w:rPr>
        <w:footnoteReference w:id="24"/>
      </w:r>
      <w:r>
        <w:rPr>
          <w:rFonts w:ascii="Baskerville Old Face" w:hAnsi="Baskerville Old Face"/>
          <w:lang w:val="en-US"/>
        </w:rPr>
        <w:t xml:space="preserve"> </w:t>
      </w:r>
    </w:p>
    <w:p w14:paraId="3705D122" w14:textId="77777777" w:rsidR="008D4F0E" w:rsidRDefault="008D4F0E" w:rsidP="008D4F0E">
      <w:pPr>
        <w:jc w:val="both"/>
        <w:rPr>
          <w:rFonts w:ascii="Baskerville Old Face" w:hAnsi="Baskerville Old Face"/>
          <w:lang w:val="en-US"/>
        </w:rPr>
      </w:pPr>
    </w:p>
    <w:p w14:paraId="7534C3EA" w14:textId="77777777" w:rsidR="008D4F0E" w:rsidRPr="008364D1" w:rsidRDefault="008D4F0E" w:rsidP="008D4F0E">
      <w:pPr>
        <w:jc w:val="both"/>
        <w:rPr>
          <w:rFonts w:ascii="Bell MT" w:hAnsi="Bell MT"/>
        </w:rPr>
      </w:pPr>
      <w:r>
        <w:rPr>
          <w:rFonts w:ascii="Baskerville Old Face" w:hAnsi="Baskerville Old Face"/>
          <w:lang w:val="en-US"/>
        </w:rPr>
        <w:t xml:space="preserve">Yet, Sultan Abdulhamit II was not a modernizer. He had promised to respect the constitution and freedoms, only to secure his throne. He would edify authoritarianism progressively. First, the Sultan suspended the parliament and constitution on the grounds of the urgency caused by the Russo-Turkish war. Reformists made </w:t>
      </w:r>
      <w:r>
        <w:rPr>
          <w:rFonts w:ascii="Bell MT" w:hAnsi="Bell MT"/>
        </w:rPr>
        <w:t xml:space="preserve">an inconclusive attempt of restoring the constitutional regime with a coup. Having observed how quickly his predecessors were overthrown, the Sultan made </w:t>
      </w:r>
      <w:r>
        <w:rPr>
          <w:rFonts w:ascii="Baskerville Old Face" w:hAnsi="Baskerville Old Face"/>
          <w:lang w:val="en-US"/>
        </w:rPr>
        <w:t xml:space="preserve">an extensive use of the existing restrictions on the freedom of expression. </w:t>
      </w:r>
      <w:r w:rsidRPr="007C15DF">
        <w:rPr>
          <w:rFonts w:ascii="Baskerville Old Face" w:hAnsi="Baskerville Old Face"/>
          <w:i/>
          <w:lang w:val="en-US"/>
        </w:rPr>
        <w:t>Istikbal</w:t>
      </w:r>
      <w:r>
        <w:rPr>
          <w:rFonts w:ascii="Baskerville Old Face" w:hAnsi="Baskerville Old Face"/>
          <w:lang w:val="en-US"/>
        </w:rPr>
        <w:t xml:space="preserve">, </w:t>
      </w:r>
      <w:r w:rsidRPr="007C15DF">
        <w:rPr>
          <w:rFonts w:ascii="Baskerville Old Face" w:hAnsi="Baskerville Old Face"/>
          <w:i/>
          <w:lang w:val="en-US"/>
        </w:rPr>
        <w:t>Vakit</w:t>
      </w:r>
      <w:r>
        <w:rPr>
          <w:rFonts w:ascii="Baskerville Old Face" w:hAnsi="Baskerville Old Face"/>
          <w:i/>
          <w:lang w:val="en-US"/>
        </w:rPr>
        <w:t xml:space="preserve">, and </w:t>
      </w:r>
      <w:r>
        <w:rPr>
          <w:rFonts w:ascii="Baskerville Old Face" w:hAnsi="Baskerville Old Face"/>
          <w:lang w:val="en-US"/>
        </w:rPr>
        <w:t xml:space="preserve">satiric publications from the Tanzimat Period were </w:t>
      </w:r>
      <w:r>
        <w:rPr>
          <w:rFonts w:ascii="Baskerville Old Face" w:hAnsi="Baskerville Old Face"/>
          <w:lang w:val="en-US"/>
        </w:rPr>
        <w:t>closed</w:t>
      </w:r>
      <w:r>
        <w:rPr>
          <w:rFonts w:ascii="Baskerville Old Face" w:hAnsi="Baskerville Old Face"/>
          <w:lang w:val="en-US"/>
        </w:rPr>
        <w:t xml:space="preserve">. Mithat Pasha and many reformist parliamentarians and journalists were exiled. Surviving papers published articles appraising the regime. </w:t>
      </w:r>
      <w:r>
        <w:rPr>
          <w:rFonts w:ascii="Bell MT" w:hAnsi="Bell MT"/>
        </w:rPr>
        <w:t xml:space="preserve">Abdulhamit II </w:t>
      </w:r>
      <w:r>
        <w:rPr>
          <w:rFonts w:ascii="Baskerville Old Face" w:hAnsi="Baskerville Old Face"/>
          <w:lang w:val="en-US"/>
        </w:rPr>
        <w:t>also established a spy network.</w:t>
      </w:r>
      <w:r w:rsidRPr="00100777">
        <w:rPr>
          <w:rStyle w:val="FootnoteReference"/>
        </w:rPr>
        <w:footnoteReference w:id="25"/>
      </w:r>
      <w:r>
        <w:rPr>
          <w:rFonts w:ascii="Baskerville Old Face" w:hAnsi="Baskerville Old Face"/>
          <w:lang w:val="en-US"/>
        </w:rPr>
        <w:t xml:space="preserve"> Young Ottomans were traumatized. They fled to Paris, Geneva and London, where they published reformist papers.</w:t>
      </w:r>
    </w:p>
    <w:p w14:paraId="044CDB8D" w14:textId="77777777" w:rsidR="008D4F0E" w:rsidRDefault="008D4F0E" w:rsidP="008D4F0E">
      <w:pPr>
        <w:jc w:val="both"/>
        <w:rPr>
          <w:rFonts w:ascii="Baskerville Old Face" w:hAnsi="Baskerville Old Face"/>
          <w:lang w:val="en-US"/>
        </w:rPr>
      </w:pPr>
    </w:p>
    <w:p w14:paraId="138F674C" w14:textId="77777777" w:rsidR="008D4F0E" w:rsidRPr="008D4F0E" w:rsidRDefault="008D4F0E" w:rsidP="008D4F0E">
      <w:pPr>
        <w:jc w:val="both"/>
        <w:rPr>
          <w:rFonts w:ascii="Baskerville Old Face" w:hAnsi="Baskerville Old Face"/>
          <w:lang w:val="en-US"/>
        </w:rPr>
      </w:pPr>
      <w:r>
        <w:rPr>
          <w:rFonts w:ascii="Baskerville Old Face" w:hAnsi="Baskerville Old Face"/>
          <w:lang w:val="en-US"/>
        </w:rPr>
        <w:t xml:space="preserve">Censorship reduced the number of publications to five: </w:t>
      </w:r>
      <w:r w:rsidRPr="00D90968">
        <w:rPr>
          <w:rFonts w:ascii="Baskerville Old Face" w:hAnsi="Baskerville Old Face"/>
          <w:i/>
          <w:lang w:val="en-US"/>
        </w:rPr>
        <w:t>Sabah</w:t>
      </w:r>
      <w:r>
        <w:rPr>
          <w:rFonts w:ascii="Baskerville Old Face" w:hAnsi="Baskerville Old Face"/>
          <w:lang w:val="en-US"/>
        </w:rPr>
        <w:t xml:space="preserve">, </w:t>
      </w:r>
      <w:r w:rsidRPr="00D90968">
        <w:rPr>
          <w:rFonts w:ascii="Baskerville Old Face" w:hAnsi="Baskerville Old Face"/>
          <w:i/>
          <w:lang w:val="en-US"/>
        </w:rPr>
        <w:t xml:space="preserve">Tercuman-i Hakikat </w:t>
      </w:r>
      <w:r>
        <w:rPr>
          <w:rFonts w:ascii="Baskerville Old Face" w:hAnsi="Baskerville Old Face"/>
          <w:lang w:val="en-US"/>
        </w:rPr>
        <w:t xml:space="preserve">(Ahmet Mithat Efendi), </w:t>
      </w:r>
      <w:r w:rsidRPr="00D90968">
        <w:rPr>
          <w:rFonts w:ascii="Baskerville Old Face" w:hAnsi="Baskerville Old Face"/>
          <w:i/>
          <w:lang w:val="en-US"/>
        </w:rPr>
        <w:t xml:space="preserve">Turk </w:t>
      </w:r>
      <w:r w:rsidRPr="008D4F0E">
        <w:rPr>
          <w:rFonts w:ascii="Baskerville Old Face" w:hAnsi="Baskerville Old Face"/>
          <w:i/>
          <w:lang w:val="en-US"/>
        </w:rPr>
        <w:t>Gazetesi</w:t>
      </w:r>
      <w:r w:rsidRPr="008D4F0E">
        <w:rPr>
          <w:rFonts w:ascii="Baskerville Old Face" w:hAnsi="Baskerville Old Face"/>
          <w:lang w:val="en-US"/>
        </w:rPr>
        <w:t xml:space="preserve">, </w:t>
      </w:r>
      <w:r w:rsidRPr="008D4F0E">
        <w:rPr>
          <w:rFonts w:ascii="Baskerville Old Face" w:hAnsi="Baskerville Old Face"/>
          <w:i/>
          <w:lang w:val="en-US"/>
        </w:rPr>
        <w:t xml:space="preserve">Ikdam </w:t>
      </w:r>
      <w:r w:rsidRPr="008D4F0E">
        <w:rPr>
          <w:rFonts w:ascii="Baskerville Old Face" w:hAnsi="Baskerville Old Face"/>
          <w:lang w:val="en-US"/>
        </w:rPr>
        <w:t xml:space="preserve">(Ahmet Cevdet) and </w:t>
      </w:r>
      <w:r w:rsidRPr="008D4F0E">
        <w:rPr>
          <w:rFonts w:ascii="Baskerville Old Face" w:hAnsi="Baskerville Old Face"/>
          <w:i/>
          <w:lang w:val="en-US"/>
        </w:rPr>
        <w:t xml:space="preserve">Mizan </w:t>
      </w:r>
      <w:r w:rsidRPr="008D4F0E">
        <w:rPr>
          <w:rFonts w:ascii="Baskerville Old Face" w:hAnsi="Baskerville Old Face"/>
          <w:lang w:val="en-US"/>
        </w:rPr>
        <w:t xml:space="preserve">(Murat Bey). </w:t>
      </w:r>
    </w:p>
    <w:p w14:paraId="7F7A957D" w14:textId="77777777" w:rsidR="008D4F0E" w:rsidRPr="008D4F0E" w:rsidRDefault="008D4F0E" w:rsidP="008D4F0E">
      <w:pPr>
        <w:jc w:val="both"/>
        <w:rPr>
          <w:rFonts w:ascii="Baskerville Old Face" w:hAnsi="Baskerville Old Face"/>
          <w:lang w:val="en-US"/>
        </w:rPr>
      </w:pPr>
    </w:p>
    <w:p w14:paraId="1CC5D62C" w14:textId="77777777" w:rsidR="008D4F0E" w:rsidRPr="008D4F0E" w:rsidRDefault="008D4F0E" w:rsidP="008D4F0E">
      <w:pPr>
        <w:jc w:val="both"/>
        <w:rPr>
          <w:rFonts w:ascii="Baskerville Old Face" w:hAnsi="Baskerville Old Face"/>
          <w:lang w:val="en-US"/>
        </w:rPr>
      </w:pPr>
    </w:p>
    <w:p w14:paraId="6CB60FE7" w14:textId="77777777" w:rsidR="008D4F0E" w:rsidRPr="008D4F0E" w:rsidRDefault="008D4F0E" w:rsidP="008D4F0E">
      <w:pPr>
        <w:pStyle w:val="ListParagraph"/>
        <w:numPr>
          <w:ilvl w:val="0"/>
          <w:numId w:val="2"/>
        </w:numPr>
        <w:jc w:val="both"/>
        <w:rPr>
          <w:rFonts w:ascii="Bell MT" w:hAnsi="Bell MT"/>
        </w:rPr>
      </w:pPr>
      <w:r w:rsidRPr="008D4F0E">
        <w:rPr>
          <w:rFonts w:ascii="Bell MT" w:hAnsi="Bell MT"/>
          <w:i/>
        </w:rPr>
        <w:t>Tercuman-I Hakikat</w:t>
      </w:r>
      <w:r w:rsidRPr="008D4F0E">
        <w:rPr>
          <w:rFonts w:ascii="Bell MT" w:hAnsi="Bell MT"/>
        </w:rPr>
        <w:t>: Ahmet Mithat Efendi (ex Mulkiye prof). Economic modernisation and development, Ottomanism, populism and pragmatism. Not an elitist; he wants to reach and mobilise ordinary men. He also tries to coherently combine Islam and positivism. He develops the myth of ‘honest poor man’.</w:t>
      </w:r>
    </w:p>
    <w:p w14:paraId="1F8CFA6B" w14:textId="77777777" w:rsidR="008D4F0E" w:rsidRPr="008D4F0E" w:rsidRDefault="008D4F0E" w:rsidP="008D4F0E">
      <w:pPr>
        <w:pStyle w:val="ListParagraph"/>
        <w:jc w:val="both"/>
        <w:rPr>
          <w:rFonts w:ascii="Bell MT" w:hAnsi="Bell MT"/>
        </w:rPr>
      </w:pPr>
    </w:p>
    <w:p w14:paraId="7E6FAB1E" w14:textId="77777777" w:rsidR="008D4F0E" w:rsidRPr="008D4F0E" w:rsidRDefault="008D4F0E" w:rsidP="008D4F0E">
      <w:pPr>
        <w:pStyle w:val="ListParagraph"/>
        <w:numPr>
          <w:ilvl w:val="0"/>
          <w:numId w:val="2"/>
        </w:numPr>
        <w:jc w:val="both"/>
        <w:rPr>
          <w:rFonts w:ascii="Bell MT" w:hAnsi="Bell MT"/>
        </w:rPr>
      </w:pPr>
      <w:r w:rsidRPr="008D4F0E">
        <w:rPr>
          <w:rFonts w:ascii="Bell MT" w:hAnsi="Bell MT"/>
        </w:rPr>
        <w:t xml:space="preserve">Besir Fuat: </w:t>
      </w:r>
      <w:r w:rsidRPr="008D4F0E">
        <w:rPr>
          <w:rFonts w:ascii="Bell MT" w:hAnsi="Bell MT"/>
          <w:i/>
        </w:rPr>
        <w:t>Tercuman</w:t>
      </w:r>
      <w:r w:rsidRPr="008D4F0E">
        <w:rPr>
          <w:rFonts w:ascii="Bell MT" w:hAnsi="Bell MT"/>
        </w:rPr>
        <w:t xml:space="preserve">: Naturalism and realism: Experimental methods. hereditary influence and environmental influence. Graduated from military med school. There is an element of criticism in his approach. He believes that materialism is gone too far and we need to </w:t>
      </w:r>
      <w:r w:rsidRPr="008D4F0E">
        <w:rPr>
          <w:rFonts w:ascii="Bell MT" w:hAnsi="Bell MT"/>
        </w:rPr>
        <w:t>return</w:t>
      </w:r>
      <w:r w:rsidRPr="008D4F0E">
        <w:rPr>
          <w:rFonts w:ascii="Bell MT" w:hAnsi="Bell MT"/>
        </w:rPr>
        <w:t xml:space="preserve"> to our moral roots. Also</w:t>
      </w:r>
      <w:r>
        <w:rPr>
          <w:rFonts w:ascii="Bell MT" w:hAnsi="Bell MT"/>
        </w:rPr>
        <w:t>,</w:t>
      </w:r>
      <w:r w:rsidRPr="008D4F0E">
        <w:rPr>
          <w:rFonts w:ascii="Bell MT" w:hAnsi="Bell MT"/>
        </w:rPr>
        <w:t xml:space="preserve"> there is the concern about saving the fatherland that they inherited from the edu</w:t>
      </w:r>
      <w:r>
        <w:rPr>
          <w:rFonts w:ascii="Bell MT" w:hAnsi="Bell MT"/>
        </w:rPr>
        <w:t>cation</w:t>
      </w:r>
      <w:r w:rsidRPr="008D4F0E">
        <w:rPr>
          <w:rFonts w:ascii="Bell MT" w:hAnsi="Bell MT"/>
        </w:rPr>
        <w:t xml:space="preserve"> system.</w:t>
      </w:r>
    </w:p>
    <w:p w14:paraId="1D048C58" w14:textId="77777777" w:rsidR="008D4F0E" w:rsidRPr="008D4F0E" w:rsidRDefault="008D4F0E" w:rsidP="008D4F0E">
      <w:pPr>
        <w:jc w:val="both"/>
        <w:rPr>
          <w:rFonts w:ascii="Bell MT" w:hAnsi="Bell MT"/>
        </w:rPr>
      </w:pPr>
    </w:p>
    <w:p w14:paraId="5288DBEB" w14:textId="77777777" w:rsidR="008D4F0E" w:rsidRPr="008D4F0E" w:rsidRDefault="008D4F0E" w:rsidP="008D4F0E">
      <w:pPr>
        <w:pStyle w:val="ListParagraph"/>
        <w:numPr>
          <w:ilvl w:val="0"/>
          <w:numId w:val="2"/>
        </w:numPr>
        <w:jc w:val="both"/>
        <w:rPr>
          <w:rFonts w:ascii="Bell MT" w:hAnsi="Bell MT"/>
        </w:rPr>
      </w:pPr>
      <w:r w:rsidRPr="008D4F0E">
        <w:rPr>
          <w:rFonts w:ascii="Bell MT" w:hAnsi="Bell MT"/>
          <w:i/>
        </w:rPr>
        <w:t>Servet-I Funun</w:t>
      </w:r>
      <w:r w:rsidRPr="008D4F0E">
        <w:rPr>
          <w:rFonts w:ascii="Bell MT" w:hAnsi="Bell MT"/>
        </w:rPr>
        <w:t xml:space="preserve">: Recaizade Mahmut Ekrem, Ahmet Ihsan, Sair (Poet) Huseyin Siret, Ahmet Rasim, Ismail Safa, Ubeydullah Efendi (ulema). SF was closed </w:t>
      </w:r>
      <w:bookmarkStart w:id="0" w:name="_GoBack"/>
      <w:bookmarkEnd w:id="0"/>
      <w:r w:rsidRPr="008D4F0E">
        <w:rPr>
          <w:rFonts w:ascii="Bell MT" w:hAnsi="Bell MT"/>
        </w:rPr>
        <w:t>in 1901.</w:t>
      </w:r>
    </w:p>
    <w:p w14:paraId="676998F1" w14:textId="77777777" w:rsidR="008D4F0E" w:rsidRPr="008D4F0E" w:rsidRDefault="008D4F0E" w:rsidP="008D4F0E">
      <w:pPr>
        <w:jc w:val="both"/>
        <w:rPr>
          <w:rFonts w:ascii="Bell MT" w:hAnsi="Bell MT"/>
        </w:rPr>
      </w:pPr>
    </w:p>
    <w:p w14:paraId="591D35D5" w14:textId="77777777" w:rsidR="008D4F0E" w:rsidRPr="00F27B0F" w:rsidRDefault="008D4F0E" w:rsidP="008D4F0E">
      <w:pPr>
        <w:pStyle w:val="ListParagraph"/>
        <w:numPr>
          <w:ilvl w:val="0"/>
          <w:numId w:val="2"/>
        </w:numPr>
        <w:jc w:val="both"/>
        <w:rPr>
          <w:rFonts w:ascii="Bell MT" w:hAnsi="Bell MT"/>
        </w:rPr>
      </w:pPr>
      <w:r w:rsidRPr="008D4F0E">
        <w:rPr>
          <w:rFonts w:ascii="Bell MT" w:hAnsi="Bell MT"/>
          <w:i/>
        </w:rPr>
        <w:t>Ikdam</w:t>
      </w:r>
      <w:r w:rsidRPr="008D4F0E">
        <w:rPr>
          <w:rFonts w:ascii="Bell MT" w:hAnsi="Bell MT"/>
        </w:rPr>
        <w:t>. Semsettin Sami, Necip Asim, Veled Celebi, Emrullah Efendi. Politically conservative but one of the first promoters</w:t>
      </w:r>
      <w:r>
        <w:rPr>
          <w:rFonts w:ascii="Bell MT" w:hAnsi="Bell MT"/>
        </w:rPr>
        <w:t xml:space="preserve"> of the concept ‘nation’.</w:t>
      </w:r>
    </w:p>
    <w:p w14:paraId="50A715E1" w14:textId="77777777" w:rsidR="008D4F0E" w:rsidRDefault="008D4F0E" w:rsidP="008D4F0E">
      <w:pPr>
        <w:jc w:val="both"/>
        <w:rPr>
          <w:rFonts w:ascii="Baskerville Old Face" w:hAnsi="Baskerville Old Face"/>
          <w:lang w:val="en-US"/>
        </w:rPr>
      </w:pPr>
    </w:p>
    <w:p w14:paraId="34FF28FD" w14:textId="77777777" w:rsidR="008D4F0E" w:rsidRDefault="008D4F0E" w:rsidP="008D4F0E">
      <w:pPr>
        <w:jc w:val="both"/>
        <w:rPr>
          <w:rFonts w:ascii="Baskerville Old Face" w:hAnsi="Baskerville Old Face"/>
          <w:lang w:val="en-US"/>
        </w:rPr>
      </w:pPr>
    </w:p>
    <w:p w14:paraId="3BD439FE" w14:textId="77777777" w:rsidR="008D4F0E" w:rsidRDefault="008D4F0E" w:rsidP="008D4F0E">
      <w:pPr>
        <w:jc w:val="both"/>
        <w:rPr>
          <w:rFonts w:ascii="Baskerville Old Face" w:hAnsi="Baskerville Old Face"/>
          <w:lang w:val="en-US"/>
        </w:rPr>
      </w:pPr>
      <w:r>
        <w:rPr>
          <w:rFonts w:ascii="Baskerville Old Face" w:hAnsi="Baskerville Old Face"/>
          <w:lang w:val="en-US"/>
        </w:rPr>
        <w:t>In 1888, a new regulation on printing houses (Matbaalar Nizamnamesi) came forth. The regulation specified the pre-publication procedures for papers and books. Newspaper publishers were to take printing plates to the censorship offices at the Ministry of Internal Affairs. Book publishers were to present their printing plates to the censorship offices at the Ministry of Education. Censor officers would edit, banish or rewrite the material, as they saw fit. With respect to the content, the document deliberately employed an ambiguous language when defining what constituted an offense to public order.</w:t>
      </w:r>
      <w:r w:rsidRPr="00100777">
        <w:rPr>
          <w:rStyle w:val="FootnoteReference"/>
        </w:rPr>
        <w:footnoteReference w:id="26"/>
      </w:r>
      <w:r>
        <w:rPr>
          <w:rFonts w:ascii="Baskerville Old Face" w:hAnsi="Baskerville Old Face"/>
          <w:lang w:val="en-US"/>
        </w:rPr>
        <w:t xml:space="preserve"> Censors banned an extensive list of words, e.g., nose (perceived as a reference to Abdulhamid’s big nose, also meaning ‘cape’ and referring to some political issues), dethronement, escape/avoid, Constitution, freedom, fatherland, equality, Bosnia, Herzegovina, Crete, Cyprus, Macedonia, Buyukburun, Murat, Yildiz (after the name of the palace), Prince regent, revolution, anarchism, socialism, dynamite, republic, international, authoritarianism, disorder, Mithat Pasha, Kemal Bey, strike, assassination, parliamentarians, prime Minister, explosion, the Sultan’s brothers’ names...</w:t>
      </w:r>
      <w:r w:rsidRPr="00CC1229">
        <w:rPr>
          <w:rStyle w:val="FootnoteReference"/>
          <w:rFonts w:ascii="Baskerville Old Face" w:hAnsi="Baskerville Old Face"/>
          <w:lang w:val="en-US"/>
        </w:rPr>
        <w:t xml:space="preserve"> </w:t>
      </w:r>
      <w:r w:rsidRPr="00100777">
        <w:rPr>
          <w:rStyle w:val="FootnoteReference"/>
        </w:rPr>
        <w:footnoteReference w:id="27"/>
      </w:r>
      <w:r>
        <w:rPr>
          <w:rFonts w:ascii="Baskerville Old Face" w:hAnsi="Baskerville Old Face"/>
          <w:lang w:val="en-US"/>
        </w:rPr>
        <w:t xml:space="preserve"> To survive the censorship, papers expressed the opposite of the real situation. Over time, the readership learned to deduce that if the press reported public order in some part of the empire, disordered reined that region.</w:t>
      </w:r>
      <w:r w:rsidRPr="00100777">
        <w:rPr>
          <w:rStyle w:val="FootnoteReference"/>
        </w:rPr>
        <w:footnoteReference w:id="28"/>
      </w:r>
      <w:r>
        <w:rPr>
          <w:rFonts w:ascii="Baskerville Old Face" w:hAnsi="Baskerville Old Face"/>
          <w:lang w:val="en-US"/>
        </w:rPr>
        <w:t xml:space="preserve"> </w:t>
      </w:r>
      <w:r w:rsidRPr="00005010">
        <w:rPr>
          <w:rFonts w:ascii="Baskerville Old Face" w:hAnsi="Baskerville Old Face"/>
          <w:i/>
          <w:lang w:val="en-US"/>
        </w:rPr>
        <w:t xml:space="preserve">Sabah </w:t>
      </w:r>
      <w:r>
        <w:rPr>
          <w:rFonts w:ascii="Baskerville Old Face" w:hAnsi="Baskerville Old Face"/>
          <w:lang w:val="en-US"/>
        </w:rPr>
        <w:t>protested censorship on Semsettin Sami’s articles, by leaving his column white.</w:t>
      </w:r>
      <w:r w:rsidRPr="00100777">
        <w:rPr>
          <w:rStyle w:val="FootnoteReference"/>
        </w:rPr>
        <w:footnoteReference w:id="29"/>
      </w:r>
      <w:r>
        <w:rPr>
          <w:rFonts w:ascii="Baskerville Old Face" w:hAnsi="Baskerville Old Face"/>
          <w:lang w:val="en-US"/>
        </w:rPr>
        <w:t xml:space="preserve"> The government also regulated and inspected all imported printed material. Customs officers confiscated many books, e.g. </w:t>
      </w:r>
      <w:r w:rsidRPr="005C04C1">
        <w:rPr>
          <w:rFonts w:ascii="Baskerville Old Face" w:hAnsi="Baskerville Old Face"/>
          <w:i/>
          <w:lang w:val="en-US"/>
        </w:rPr>
        <w:t xml:space="preserve">The </w:t>
      </w:r>
      <w:r>
        <w:rPr>
          <w:rFonts w:ascii="Baskerville Old Face" w:hAnsi="Baskerville Old Face"/>
          <w:i/>
          <w:lang w:val="en-US"/>
        </w:rPr>
        <w:t>H</w:t>
      </w:r>
      <w:r w:rsidRPr="005C04C1">
        <w:rPr>
          <w:rFonts w:ascii="Baskerville Old Face" w:hAnsi="Baskerville Old Face"/>
          <w:i/>
          <w:lang w:val="en-US"/>
        </w:rPr>
        <w:t>istory of the Ottoman Empire</w:t>
      </w:r>
      <w:r>
        <w:rPr>
          <w:rFonts w:ascii="Baskerville Old Face" w:hAnsi="Baskerville Old Face"/>
          <w:lang w:val="en-US"/>
        </w:rPr>
        <w:t xml:space="preserve"> by von Hammer, </w:t>
      </w:r>
      <w:r w:rsidRPr="005C04C1">
        <w:rPr>
          <w:rFonts w:ascii="Baskerville Old Face" w:hAnsi="Baskerville Old Face"/>
          <w:i/>
          <w:lang w:val="en-US"/>
        </w:rPr>
        <w:t xml:space="preserve">Invasion of the Crimea </w:t>
      </w:r>
      <w:r>
        <w:rPr>
          <w:rFonts w:ascii="Baskerville Old Face" w:hAnsi="Baskerville Old Face"/>
          <w:lang w:val="en-US"/>
        </w:rPr>
        <w:t>by Kinglake. An official commission burned all detrimental materials. By 1902, 1264 items had been burned.</w:t>
      </w:r>
      <w:r w:rsidRPr="00100777">
        <w:rPr>
          <w:rStyle w:val="FootnoteReference"/>
        </w:rPr>
        <w:footnoteReference w:id="30"/>
      </w:r>
      <w:r>
        <w:rPr>
          <w:rFonts w:ascii="Baskerville Old Face" w:hAnsi="Baskerville Old Face"/>
          <w:lang w:val="en-US"/>
        </w:rPr>
        <w:t xml:space="preserve"> </w:t>
      </w:r>
    </w:p>
    <w:p w14:paraId="57C19512" w14:textId="77777777" w:rsidR="008D4F0E" w:rsidRDefault="008D4F0E" w:rsidP="008D4F0E">
      <w:pPr>
        <w:jc w:val="both"/>
        <w:rPr>
          <w:rFonts w:ascii="Baskerville Old Face" w:hAnsi="Baskerville Old Face"/>
          <w:lang w:val="en-US"/>
        </w:rPr>
      </w:pPr>
    </w:p>
    <w:p w14:paraId="3880BE8A" w14:textId="77777777" w:rsidR="008D4F0E" w:rsidRDefault="008D4F0E" w:rsidP="008D4F0E">
      <w:pPr>
        <w:jc w:val="both"/>
        <w:rPr>
          <w:rFonts w:ascii="Baskerville Old Face" w:hAnsi="Baskerville Old Face"/>
          <w:lang w:val="en-US"/>
        </w:rPr>
      </w:pPr>
      <w:r>
        <w:rPr>
          <w:rFonts w:ascii="Baskerville Old Face" w:hAnsi="Baskerville Old Face"/>
          <w:lang w:val="en-US"/>
        </w:rPr>
        <w:t>The strategic value of the press was the same for Abdulhamit II as for Mahmut II. Both sultans used the press to bolster their image, convey messages and respond to domestic and foreign criticisms. For instance, hamidian papers would report the lynching of blacks in the United States, or the Pope’s performing a mass in a cage; or they would also inveigh against Young Turks that collaborated with the Great Powers.</w:t>
      </w:r>
      <w:r w:rsidRPr="00100777">
        <w:rPr>
          <w:rStyle w:val="FootnoteReference"/>
        </w:rPr>
        <w:footnoteReference w:id="31"/>
      </w:r>
      <w:r>
        <w:rPr>
          <w:rFonts w:ascii="Baskerville Old Face" w:hAnsi="Baskerville Old Face"/>
          <w:lang w:val="en-US"/>
        </w:rPr>
        <w:t xml:space="preserve"> Hamidian papers were to report the Sultan’s public appearances (e.g. Friday prayers, anniversaries of his enthronement) with accurate details. Errors could lead to the closure of the paper. Papers had to publish imperial orders and announcements in their next issue without delay. Between 1878 and 1891, non-official papers functioned as official paper, because </w:t>
      </w:r>
      <w:r w:rsidRPr="0028324A">
        <w:rPr>
          <w:rFonts w:ascii="Baskerville Old Face" w:hAnsi="Baskerville Old Face"/>
          <w:i/>
          <w:lang w:val="en-US"/>
        </w:rPr>
        <w:t>Takvim-i Vekayi</w:t>
      </w:r>
      <w:r>
        <w:rPr>
          <w:rFonts w:ascii="Baskerville Old Face" w:hAnsi="Baskerville Old Face"/>
          <w:i/>
          <w:lang w:val="en-US"/>
        </w:rPr>
        <w:t xml:space="preserve"> </w:t>
      </w:r>
      <w:r w:rsidRPr="0028324A">
        <w:rPr>
          <w:rFonts w:ascii="Baskerville Old Face" w:hAnsi="Baskerville Old Face"/>
          <w:lang w:val="en-US"/>
        </w:rPr>
        <w:t>was suspended</w:t>
      </w:r>
      <w:r>
        <w:rPr>
          <w:rFonts w:ascii="Baskerville Old Face" w:hAnsi="Baskerville Old Face"/>
          <w:lang w:val="en-US"/>
        </w:rPr>
        <w:t>. Journalists raced in their appraisals of Abdulhamit II’s briefings and policies, partly because the law condemned articles hostile to the ‘general interests of the country’. Also, the majority of the papers received state subsidies.</w:t>
      </w:r>
      <w:r w:rsidRPr="00CA1FB2">
        <w:rPr>
          <w:rFonts w:ascii="Baskerville Old Face" w:hAnsi="Baskerville Old Face"/>
          <w:lang w:val="en-US"/>
        </w:rPr>
        <w:t xml:space="preserve"> </w:t>
      </w:r>
    </w:p>
    <w:p w14:paraId="3E1A764C" w14:textId="77777777" w:rsidR="008D4F0E" w:rsidRDefault="008D4F0E" w:rsidP="008D4F0E">
      <w:pPr>
        <w:jc w:val="both"/>
        <w:rPr>
          <w:rFonts w:ascii="Baskerville Old Face" w:hAnsi="Baskerville Old Face"/>
          <w:lang w:val="en-US"/>
        </w:rPr>
      </w:pPr>
    </w:p>
    <w:p w14:paraId="18390400" w14:textId="77777777" w:rsidR="008D4F0E" w:rsidRDefault="008D4F0E" w:rsidP="008D4F0E">
      <w:pPr>
        <w:jc w:val="both"/>
        <w:rPr>
          <w:rFonts w:ascii="Baskerville Old Face" w:hAnsi="Baskerville Old Face"/>
          <w:lang w:val="en-US"/>
        </w:rPr>
      </w:pPr>
      <w:r>
        <w:rPr>
          <w:rFonts w:ascii="Baskerville Old Face" w:hAnsi="Baskerville Old Face"/>
          <w:lang w:val="en-US"/>
        </w:rPr>
        <w:t>It was a common practice for journalists to petition the Palace for subventions, permission to establish a paper or lift of an existing ban/suspension. Those that maintained good relations with the Palace could complain about censors. Then, the Sultan would adjudicate between parties. Abdulhamit II aided papers to the extent that they channeled the official policy over a large segment of the society. Hence, paper with a higher circulation would receive more subsidies.</w:t>
      </w:r>
      <w:r w:rsidRPr="00100777">
        <w:rPr>
          <w:rStyle w:val="FootnoteReference"/>
        </w:rPr>
        <w:footnoteReference w:id="32"/>
      </w:r>
      <w:r>
        <w:rPr>
          <w:rFonts w:ascii="Baskerville Old Face" w:hAnsi="Baskerville Old Face"/>
          <w:lang w:val="en-US"/>
        </w:rPr>
        <w:t xml:space="preserve"> The hamidian press defined a highly profitable oligopolistic market that competed for spoils from the government. Besides subsidies, the Palace would reward selected journalists with occasional gifts and honor medals, appointments to governmental printing jobs, tax ease, and technical support. To qualify for remunerations, journalists and publishers would send spy reports (e.g. Ahmet Ihsan from </w:t>
      </w:r>
      <w:r w:rsidRPr="001E2C42">
        <w:rPr>
          <w:rFonts w:ascii="Baskerville Old Face" w:hAnsi="Baskerville Old Face"/>
          <w:i/>
          <w:lang w:val="en-US"/>
        </w:rPr>
        <w:t>Servet-i Funun</w:t>
      </w:r>
      <w:r>
        <w:rPr>
          <w:rFonts w:ascii="Baskerville Old Face" w:hAnsi="Baskerville Old Face"/>
          <w:lang w:val="en-US"/>
        </w:rPr>
        <w:t xml:space="preserve">, Mihran and Abdullah Zuhtu from </w:t>
      </w:r>
      <w:r w:rsidRPr="00342291">
        <w:rPr>
          <w:rFonts w:ascii="Baskerville Old Face" w:hAnsi="Baskerville Old Face"/>
          <w:i/>
          <w:lang w:val="en-US"/>
        </w:rPr>
        <w:t>Sabah</w:t>
      </w:r>
      <w:r>
        <w:rPr>
          <w:rFonts w:ascii="Baskerville Old Face" w:hAnsi="Baskerville Old Face"/>
          <w:lang w:val="en-US"/>
        </w:rPr>
        <w:t xml:space="preserve">, Ahmet Samim, Ebuziyya Tevfik who published most of Namik Kemal’s works). Papers would blemish each other (e.g. Ahmet Cevdet’s </w:t>
      </w:r>
      <w:r w:rsidRPr="00B024A0">
        <w:rPr>
          <w:rFonts w:ascii="Baskerville Old Face" w:hAnsi="Baskerville Old Face"/>
          <w:i/>
          <w:lang w:val="en-US"/>
        </w:rPr>
        <w:t xml:space="preserve">Ikdam </w:t>
      </w:r>
      <w:r>
        <w:rPr>
          <w:rFonts w:ascii="Baskerville Old Face" w:hAnsi="Baskerville Old Face"/>
          <w:lang w:val="en-US"/>
        </w:rPr>
        <w:t xml:space="preserve">vs. Mihran’s </w:t>
      </w:r>
      <w:r w:rsidRPr="00B024A0">
        <w:rPr>
          <w:rFonts w:ascii="Baskerville Old Face" w:hAnsi="Baskerville Old Face"/>
          <w:i/>
          <w:lang w:val="en-US"/>
        </w:rPr>
        <w:t>Sabah</w:t>
      </w:r>
      <w:r>
        <w:rPr>
          <w:rFonts w:ascii="Baskerville Old Face" w:hAnsi="Baskerville Old Face"/>
          <w:lang w:val="en-US"/>
        </w:rPr>
        <w:t xml:space="preserve">, Ahmet Mithat Efendi from </w:t>
      </w:r>
      <w:r w:rsidRPr="00B024A0">
        <w:rPr>
          <w:rFonts w:ascii="Baskerville Old Face" w:hAnsi="Baskerville Old Face"/>
          <w:i/>
          <w:lang w:val="en-US"/>
        </w:rPr>
        <w:t>Tercuman-i Hakikat</w:t>
      </w:r>
      <w:r>
        <w:rPr>
          <w:rFonts w:ascii="Baskerville Old Face" w:hAnsi="Baskerville Old Face"/>
          <w:lang w:val="en-US"/>
        </w:rPr>
        <w:t xml:space="preserve"> vs. Haci Ibrahim from </w:t>
      </w:r>
      <w:r w:rsidRPr="00B024A0">
        <w:rPr>
          <w:rFonts w:ascii="Baskerville Old Face" w:hAnsi="Baskerville Old Face"/>
          <w:i/>
          <w:lang w:val="en-US"/>
        </w:rPr>
        <w:t>Tarik</w:t>
      </w:r>
      <w:r>
        <w:rPr>
          <w:rFonts w:ascii="Baskerville Old Face" w:hAnsi="Baskerville Old Face"/>
          <w:lang w:val="en-US"/>
        </w:rPr>
        <w:t>).</w:t>
      </w:r>
      <w:r w:rsidRPr="00100777">
        <w:rPr>
          <w:rStyle w:val="FootnoteReference"/>
        </w:rPr>
        <w:footnoteReference w:id="33"/>
      </w:r>
      <w:r>
        <w:rPr>
          <w:rFonts w:ascii="Baskerville Old Face" w:hAnsi="Baskerville Old Face"/>
          <w:lang w:val="en-US"/>
        </w:rPr>
        <w:t xml:space="preserve"> Overall, Abdulhamit II manipulated the press to remain in power and attack opponents. As he himself mentioned ‘he was an enemy of the press, if he were an enemy of theirs, he had the men to strike authors down in the middle of the street’.</w:t>
      </w:r>
      <w:r w:rsidRPr="00100777">
        <w:rPr>
          <w:rStyle w:val="FootnoteReference"/>
        </w:rPr>
        <w:footnoteReference w:id="34"/>
      </w:r>
    </w:p>
    <w:p w14:paraId="5E5B24ED" w14:textId="77777777" w:rsidR="008D4F0E" w:rsidRDefault="008D4F0E" w:rsidP="008D4F0E">
      <w:pPr>
        <w:jc w:val="both"/>
        <w:rPr>
          <w:rFonts w:ascii="Baskerville Old Face" w:hAnsi="Baskerville Old Face"/>
          <w:lang w:val="en-US"/>
        </w:rPr>
      </w:pPr>
    </w:p>
    <w:p w14:paraId="69A48963" w14:textId="77777777" w:rsidR="008D4F0E" w:rsidRDefault="008D4F0E" w:rsidP="008D4F0E">
      <w:pPr>
        <w:jc w:val="both"/>
        <w:rPr>
          <w:rFonts w:ascii="Baskerville Old Face" w:hAnsi="Baskerville Old Face"/>
          <w:lang w:val="en-US"/>
        </w:rPr>
      </w:pPr>
      <w:r>
        <w:rPr>
          <w:rFonts w:ascii="Baskerville Old Face" w:hAnsi="Baskerville Old Face"/>
          <w:lang w:val="en-US"/>
        </w:rPr>
        <w:t xml:space="preserve">Jeune Turcs journalists tried to disseminate their ideas through periodicals that they published abroad. Regardless of censorship, the readership extended to middle classes and women. The second constitutional monarchy (1908) abolished censorship. </w:t>
      </w:r>
    </w:p>
    <w:p w14:paraId="68378D61" w14:textId="77777777" w:rsidR="008D4F0E" w:rsidRDefault="008D4F0E" w:rsidP="008D4F0E">
      <w:pPr>
        <w:jc w:val="both"/>
        <w:rPr>
          <w:rFonts w:ascii="Baskerville Old Face" w:hAnsi="Baskerville Old Face"/>
          <w:lang w:val="en-US"/>
        </w:rPr>
      </w:pPr>
    </w:p>
    <w:p w14:paraId="3637AA17" w14:textId="77777777" w:rsidR="008D4F0E" w:rsidRDefault="008D4F0E" w:rsidP="008D4F0E">
      <w:pPr>
        <w:jc w:val="both"/>
        <w:rPr>
          <w:rFonts w:ascii="Baskerville Old Face" w:hAnsi="Baskerville Old Face"/>
          <w:lang w:val="en-US"/>
        </w:rPr>
      </w:pPr>
    </w:p>
    <w:p w14:paraId="108504C2" w14:textId="77777777" w:rsidR="008D4F0E" w:rsidRDefault="008D4F0E" w:rsidP="008D4F0E">
      <w:pPr>
        <w:jc w:val="both"/>
        <w:rPr>
          <w:rFonts w:ascii="Baskerville Old Face" w:hAnsi="Baskerville Old Face"/>
          <w:lang w:val="en-US"/>
        </w:rPr>
      </w:pPr>
    </w:p>
    <w:p w14:paraId="5A143621" w14:textId="77777777" w:rsidR="008D4F0E" w:rsidRDefault="008D4F0E" w:rsidP="008D4F0E">
      <w:pPr>
        <w:jc w:val="both"/>
        <w:rPr>
          <w:rFonts w:ascii="Baskerville Old Face" w:hAnsi="Baskerville Old Face"/>
          <w:lang w:val="en-US"/>
        </w:rPr>
      </w:pPr>
    </w:p>
    <w:tbl>
      <w:tblPr>
        <w:tblW w:w="4200" w:type="pct"/>
        <w:tblCellSpacing w:w="15" w:type="dxa"/>
        <w:tblCellMar>
          <w:top w:w="40" w:type="dxa"/>
          <w:left w:w="40" w:type="dxa"/>
          <w:bottom w:w="40" w:type="dxa"/>
          <w:right w:w="40" w:type="dxa"/>
        </w:tblCellMar>
        <w:tblLook w:val="04A0" w:firstRow="1" w:lastRow="0" w:firstColumn="1" w:lastColumn="0" w:noHBand="0" w:noVBand="1"/>
      </w:tblPr>
      <w:tblGrid>
        <w:gridCol w:w="7011"/>
        <w:gridCol w:w="116"/>
        <w:gridCol w:w="131"/>
      </w:tblGrid>
      <w:tr w:rsidR="008D4F0E" w:rsidRPr="00D75FCB" w14:paraId="149DE316" w14:textId="77777777" w:rsidTr="000F014E">
        <w:trPr>
          <w:tblCellSpacing w:w="15" w:type="dxa"/>
        </w:trPr>
        <w:tc>
          <w:tcPr>
            <w:tcW w:w="4802" w:type="pct"/>
            <w:vAlign w:val="center"/>
            <w:hideMark/>
          </w:tcPr>
          <w:p w14:paraId="546D7DE8" w14:textId="77777777" w:rsidR="008D4F0E" w:rsidRPr="00D75FCB" w:rsidRDefault="008D4F0E" w:rsidP="000F014E">
            <w:pPr>
              <w:rPr>
                <w:rFonts w:ascii="Times" w:eastAsia="Times New Roman" w:hAnsi="Times" w:cs="Times New Roman"/>
                <w:sz w:val="20"/>
                <w:szCs w:val="20"/>
                <w:lang w:val="en-US"/>
              </w:rPr>
            </w:pPr>
            <w:r w:rsidRPr="00D75FCB">
              <w:rPr>
                <w:rFonts w:ascii="Times" w:eastAsia="Times New Roman" w:hAnsi="Times" w:cs="Times New Roman"/>
                <w:color w:val="FFFFFF"/>
                <w:sz w:val="20"/>
                <w:szCs w:val="20"/>
                <w:lang w:val="en-US"/>
              </w:rPr>
              <w:t>.</w:t>
            </w:r>
          </w:p>
        </w:tc>
        <w:tc>
          <w:tcPr>
            <w:tcW w:w="58" w:type="pct"/>
            <w:vAlign w:val="center"/>
            <w:hideMark/>
          </w:tcPr>
          <w:p w14:paraId="07841908" w14:textId="77777777" w:rsidR="008D4F0E" w:rsidRPr="00D75FCB" w:rsidRDefault="008D4F0E" w:rsidP="000F014E">
            <w:pPr>
              <w:rPr>
                <w:rFonts w:ascii="Times" w:eastAsia="Times New Roman" w:hAnsi="Times" w:cs="Times New Roman"/>
                <w:sz w:val="20"/>
                <w:szCs w:val="20"/>
                <w:lang w:val="en-US"/>
              </w:rPr>
            </w:pPr>
          </w:p>
        </w:tc>
        <w:tc>
          <w:tcPr>
            <w:tcW w:w="58" w:type="pct"/>
            <w:vAlign w:val="center"/>
            <w:hideMark/>
          </w:tcPr>
          <w:p w14:paraId="71C10306" w14:textId="77777777" w:rsidR="008D4F0E" w:rsidRPr="00D75FCB" w:rsidRDefault="008D4F0E" w:rsidP="000F014E">
            <w:pPr>
              <w:rPr>
                <w:rFonts w:ascii="Times" w:eastAsia="Times New Roman" w:hAnsi="Times" w:cs="Times New Roman"/>
                <w:sz w:val="20"/>
                <w:szCs w:val="20"/>
                <w:lang w:val="en-US"/>
              </w:rPr>
            </w:pPr>
          </w:p>
        </w:tc>
      </w:tr>
    </w:tbl>
    <w:p w14:paraId="081D77AC" w14:textId="77777777" w:rsidR="008D4F0E" w:rsidRDefault="008D4F0E" w:rsidP="008D4F0E">
      <w:pPr>
        <w:jc w:val="both"/>
        <w:rPr>
          <w:rFonts w:ascii="Baskerville Old Face" w:hAnsi="Baskerville Old Face"/>
          <w:lang w:val="en-US"/>
        </w:rPr>
      </w:pPr>
    </w:p>
    <w:p w14:paraId="6D84A932" w14:textId="77777777" w:rsidR="002E23A8" w:rsidRDefault="002E23A8"/>
    <w:sectPr w:rsidR="002E23A8" w:rsidSect="00284A26">
      <w:headerReference w:type="even" r:id="rId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84F01D" w14:textId="77777777" w:rsidR="00472D2B" w:rsidRDefault="00472D2B" w:rsidP="008D4F0E">
      <w:r>
        <w:separator/>
      </w:r>
    </w:p>
  </w:endnote>
  <w:endnote w:type="continuationSeparator" w:id="0">
    <w:p w14:paraId="38E63110" w14:textId="77777777" w:rsidR="00472D2B" w:rsidRDefault="00472D2B" w:rsidP="008D4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askerville Old Face">
    <w:panose1 w:val="020206020805050203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Bell MT">
    <w:panose1 w:val="020205030603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5F2CC6" w14:textId="77777777" w:rsidR="00472D2B" w:rsidRDefault="00472D2B" w:rsidP="008D4F0E">
      <w:r>
        <w:separator/>
      </w:r>
    </w:p>
  </w:footnote>
  <w:footnote w:type="continuationSeparator" w:id="0">
    <w:p w14:paraId="44B1D923" w14:textId="77777777" w:rsidR="00472D2B" w:rsidRDefault="00472D2B" w:rsidP="008D4F0E">
      <w:r>
        <w:continuationSeparator/>
      </w:r>
    </w:p>
  </w:footnote>
  <w:footnote w:id="1">
    <w:p w14:paraId="1B2B307C" w14:textId="77777777" w:rsidR="008D4F0E" w:rsidRPr="00E454E7"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{"citationID":"xMf2Qbdj","properties":{"formattedCitation":"{\\rtf Ali Budak, \\uc0\\u8220{}The French Revolution\\uc0\\u8217{}s Gift to the Ottomans: The Newspaper The Emergence of Turkish Media,\\uc0\\u8221{} \\i International Journal of Humanities and Social Science\\i0{} 2, no. 19, November (Special issue) (2012): 157\\uc0\\u8211{}169.}","plainCitation":"Ali Budak, “The French Revolution’s Gift to the Ottomans: The Newspaper The Emergence of Turkish Media,” International Journal of Humanities and Social Science 2, no. 19, November (Special issue) (2012): 157–169."},"citationItems":[{"id":917,"uris":["http://zotero.org/users/1205741/items/NTKVXMGR"],"uri":["http://zotero.org/users/1205741/items/NTKVXMGR"],"itemData":{"id":917,"type":"article-journal","title":"The French Revolution’s Gift to the Ottomans: The Newspaper The Emergence of Turkish Media","container-title":"International Journal of Humanities and Social Science","page":"157-169","volume":"2","issue":"19, November (Special issue)","source":"Google Scholar","shortTitle":"The French Revolution’s Gift to the Ottomans","author":[{"family":"Budak","given":"Ali"}],"issued":{"date-parts":[["2012"]]},"accessed":{"date-parts":[["2013",4,4]]}}}],"schema":"https://github.com/citation-style-language/schema/raw/master/csl-citation.json"} </w:instrText>
      </w:r>
      <w:r>
        <w:fldChar w:fldCharType="separate"/>
      </w:r>
      <w:r w:rsidRPr="00E454E7">
        <w:rPr>
          <w:rFonts w:ascii="Cambria"/>
        </w:rPr>
        <w:t xml:space="preserve">Ali Budak, </w:t>
      </w:r>
      <w:r w:rsidRPr="00E454E7">
        <w:rPr>
          <w:rFonts w:ascii="Cambria"/>
        </w:rPr>
        <w:t>“</w:t>
      </w:r>
      <w:r w:rsidRPr="00E454E7">
        <w:rPr>
          <w:rFonts w:ascii="Cambria"/>
        </w:rPr>
        <w:t>The French Revolution</w:t>
      </w:r>
      <w:r w:rsidRPr="00E454E7">
        <w:rPr>
          <w:rFonts w:ascii="Cambria"/>
        </w:rPr>
        <w:t>’</w:t>
      </w:r>
      <w:r w:rsidRPr="00E454E7">
        <w:rPr>
          <w:rFonts w:ascii="Cambria"/>
        </w:rPr>
        <w:t>s Gift to the Ottomans: The Newspaper The Emergence of Turkish Media,</w:t>
      </w:r>
      <w:r w:rsidRPr="00E454E7">
        <w:rPr>
          <w:rFonts w:ascii="Cambria"/>
        </w:rPr>
        <w:t>”</w:t>
      </w:r>
      <w:r w:rsidRPr="00E454E7">
        <w:rPr>
          <w:rFonts w:ascii="Cambria"/>
        </w:rPr>
        <w:t xml:space="preserve"> </w:t>
      </w:r>
      <w:r w:rsidRPr="00E454E7">
        <w:rPr>
          <w:rFonts w:ascii="Cambria"/>
          <w:i/>
          <w:iCs/>
        </w:rPr>
        <w:t>International Journal of Humanities and Social Science</w:t>
      </w:r>
      <w:r w:rsidRPr="00E454E7">
        <w:rPr>
          <w:rFonts w:ascii="Cambria"/>
        </w:rPr>
        <w:t xml:space="preserve"> 2, no. 19, November (Special issue) (2012): 157</w:t>
      </w:r>
      <w:r w:rsidRPr="00E454E7">
        <w:rPr>
          <w:rFonts w:ascii="Cambria"/>
        </w:rPr>
        <w:t>–</w:t>
      </w:r>
      <w:r w:rsidRPr="00E454E7">
        <w:rPr>
          <w:rFonts w:ascii="Cambria"/>
        </w:rPr>
        <w:t>169.</w:t>
      </w:r>
      <w:r>
        <w:fldChar w:fldCharType="end"/>
      </w:r>
    </w:p>
  </w:footnote>
  <w:footnote w:id="2">
    <w:p w14:paraId="62EFBB25" w14:textId="77777777" w:rsidR="008D4F0E" w:rsidRPr="00DB4F64" w:rsidRDefault="008D4F0E" w:rsidP="008D4F0E">
      <w:pPr>
        <w:pStyle w:val="FootnoteText"/>
        <w:rPr>
          <w:lang w:val="en-US"/>
        </w:rPr>
      </w:pPr>
      <w:r w:rsidRPr="00100777">
        <w:rPr>
          <w:rStyle w:val="FootnoteReference"/>
        </w:rPr>
        <w:footnoteRef/>
      </w:r>
      <w:r w:rsidRPr="00153D7E">
        <w:rPr>
          <w:rFonts w:ascii="Cambria"/>
          <w:sz w:val="20"/>
        </w:rPr>
        <w:t xml:space="preserve"> </w:t>
      </w:r>
      <w:r w:rsidRPr="00153D7E">
        <w:rPr>
          <w:rFonts w:ascii="Cambria"/>
          <w:sz w:val="20"/>
        </w:rPr>
        <w:fldChar w:fldCharType="begin"/>
      </w:r>
      <w:r>
        <w:rPr>
          <w:rFonts w:ascii="Cambria"/>
          <w:sz w:val="20"/>
        </w:rPr>
        <w:instrText xml:space="preserve"> ADDIN ZOTERO_ITEM CSL_CITATION {"citationID":"BDk4QZQl","properties":{"formattedCitation":"{\\rtf Ismail Soysal, \\i Fransiz ihtil\\uc0\\u226{}li ve T\\uc0\\u252{}rk-Fransiz diplomasi m\\uc0\\u252{}nasebetleri (1789-1802)\\i0{}, 2nd ed., 1987, http://catalog.hathitrust.org/api/volumes/oclc/23573089.html.}","plainCitation":"Ismail Soysal, Fransiz ihtil</w:instrText>
      </w:r>
      <w:r>
        <w:rPr>
          <w:rFonts w:ascii="Cambria"/>
          <w:sz w:val="20"/>
        </w:rPr>
        <w:instrText>â</w:instrText>
      </w:r>
      <w:r>
        <w:rPr>
          <w:rFonts w:ascii="Cambria"/>
          <w:sz w:val="20"/>
        </w:rPr>
        <w:instrText>li ve T</w:instrText>
      </w:r>
      <w:r>
        <w:rPr>
          <w:rFonts w:ascii="Cambria"/>
          <w:sz w:val="20"/>
        </w:rPr>
        <w:instrText>ü</w:instrText>
      </w:r>
      <w:r>
        <w:rPr>
          <w:rFonts w:ascii="Cambria"/>
          <w:sz w:val="20"/>
        </w:rPr>
        <w:instrText>rk-Fransiz diplomasi m</w:instrText>
      </w:r>
      <w:r>
        <w:rPr>
          <w:rFonts w:ascii="Cambria"/>
          <w:sz w:val="20"/>
        </w:rPr>
        <w:instrText>ü</w:instrText>
      </w:r>
      <w:r>
        <w:rPr>
          <w:rFonts w:ascii="Cambria"/>
          <w:sz w:val="20"/>
        </w:rPr>
        <w:instrText>nasebetleri (1789-1802), 2nd ed., 1987, http://catalog.hathitrust.org/api/volumes/oclc/23573089.html.","dontUpdate":true},"citationItems":[{"id":925,"uris":["http://zotero.org/users/1205741/items/CKZUDS37"],"uri":["http://zotero.org/users/1205741/items/CKZUDS37"],"itemData":{"id":925,"type":"book","title":"Fransiz ihtil</w:instrText>
      </w:r>
      <w:r>
        <w:rPr>
          <w:rFonts w:ascii="Cambria"/>
          <w:sz w:val="20"/>
        </w:rPr>
        <w:instrText>â</w:instrText>
      </w:r>
      <w:r>
        <w:rPr>
          <w:rFonts w:ascii="Cambria"/>
          <w:sz w:val="20"/>
        </w:rPr>
        <w:instrText>li ve T</w:instrText>
      </w:r>
      <w:r>
        <w:rPr>
          <w:rFonts w:ascii="Cambria"/>
          <w:sz w:val="20"/>
        </w:rPr>
        <w:instrText>ü</w:instrText>
      </w:r>
      <w:r>
        <w:rPr>
          <w:rFonts w:ascii="Cambria"/>
          <w:sz w:val="20"/>
        </w:rPr>
        <w:instrText>rk-Fransiz diplomasi m</w:instrText>
      </w:r>
      <w:r>
        <w:rPr>
          <w:rFonts w:ascii="Cambria"/>
          <w:sz w:val="20"/>
        </w:rPr>
        <w:instrText>ü</w:instrText>
      </w:r>
      <w:r>
        <w:rPr>
          <w:rFonts w:ascii="Cambria"/>
          <w:sz w:val="20"/>
        </w:rPr>
        <w:instrText xml:space="preserve">nasebetleri (1789-1802)","edition":"2","language":"Turkish","author":[{"family":"Soysal","given":"Ismail"}],"issued":{"date-parts":[["1987"]]},"accessed":{"date-parts":[["2013",4,4]]}}}],"schema":"https://github.com/citation-style-language/schema/raw/master/csl-citation.json"} </w:instrText>
      </w:r>
      <w:r w:rsidRPr="00153D7E">
        <w:rPr>
          <w:rFonts w:ascii="Cambria"/>
          <w:sz w:val="20"/>
        </w:rPr>
        <w:fldChar w:fldCharType="separate"/>
      </w:r>
      <w:r w:rsidRPr="00153D7E">
        <w:rPr>
          <w:rFonts w:ascii="Cambria"/>
          <w:sz w:val="20"/>
        </w:rPr>
        <w:t>Ismail Soysal, Fransiz ihtil</w:t>
      </w:r>
      <w:r w:rsidRPr="00153D7E">
        <w:rPr>
          <w:rFonts w:ascii="Cambria"/>
          <w:sz w:val="20"/>
        </w:rPr>
        <w:t>â</w:t>
      </w:r>
      <w:r w:rsidRPr="00153D7E">
        <w:rPr>
          <w:rFonts w:ascii="Cambria"/>
          <w:sz w:val="20"/>
        </w:rPr>
        <w:t>li ve T</w:t>
      </w:r>
      <w:r w:rsidRPr="00153D7E">
        <w:rPr>
          <w:rFonts w:ascii="Cambria"/>
          <w:sz w:val="20"/>
        </w:rPr>
        <w:t>ü</w:t>
      </w:r>
      <w:r w:rsidRPr="00153D7E">
        <w:rPr>
          <w:rFonts w:ascii="Cambria"/>
          <w:sz w:val="20"/>
        </w:rPr>
        <w:t>rk-Fransiz diplomasi m</w:t>
      </w:r>
      <w:r w:rsidRPr="00153D7E">
        <w:rPr>
          <w:rFonts w:ascii="Cambria"/>
          <w:sz w:val="20"/>
        </w:rPr>
        <w:t>ü</w:t>
      </w:r>
      <w:r w:rsidRPr="00153D7E">
        <w:rPr>
          <w:rFonts w:ascii="Cambria"/>
          <w:sz w:val="20"/>
        </w:rPr>
        <w:t>nasebetleri (1789-1802), 2nd ed., 1987.</w:t>
      </w:r>
      <w:r w:rsidRPr="00153D7E">
        <w:rPr>
          <w:rFonts w:ascii="Cambria"/>
          <w:sz w:val="20"/>
        </w:rPr>
        <w:fldChar w:fldCharType="end"/>
      </w:r>
      <w:r w:rsidRPr="00153D7E">
        <w:rPr>
          <w:rFonts w:ascii="Cambria"/>
          <w:sz w:val="20"/>
        </w:rPr>
        <w:t xml:space="preserve"> P.41.</w:t>
      </w:r>
    </w:p>
  </w:footnote>
  <w:footnote w:id="3">
    <w:p w14:paraId="21EB59D4" w14:textId="77777777" w:rsidR="008D4F0E" w:rsidRPr="00E454E7"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{"citationID":"j6Yrjr9d","properties":{"formattedCitation":"{\\rtf Erik Jan Z\\uc0\\u252{}rcher, \\i Modernlesen T\\uc0\\u252{}rkiye\\uc0\\u8217{}nin Tarihi (Turkey, a Modern History)\\i0{} (Istanbul: Iletisim, 2008).}","plainCitation":"Erik Jan Zürcher, Modernlesen Türkiye’nin Tarihi (Turkey, a Modern History) (Istanbul: Iletisim, 2008)."},"citationItems":[{"id":922,"uris":["http://zotero.org/users/1205741/items/ZUTH6EUF"],"uri":["http://zotero.org/users/1205741/items/ZUTH6EUF"],"itemData":{"id":922,"type":"book","title":"Modernlesen Türkiye'nin tarihi (Turkey, a modern history)","publisher":"Iletisim","publisher-place":"Istanbul","source":"Open WorldCat","event-place":"Istanbul","ISBN":"9789750506031 9750506030","author":[{"family":"Zürcher","given":"Erik Jan"}],"issued":{"date-parts":[["2008"]]}}}],"schema":"https://github.com/citation-style-language/schema/raw/master/csl-citation.json"} </w:instrText>
      </w:r>
      <w:r>
        <w:fldChar w:fldCharType="separate"/>
      </w:r>
      <w:r w:rsidRPr="00E454E7">
        <w:rPr>
          <w:rFonts w:ascii="Cambria"/>
        </w:rPr>
        <w:t>Erik Jan Z</w:t>
      </w:r>
      <w:r w:rsidRPr="00E454E7">
        <w:rPr>
          <w:rFonts w:ascii="Cambria"/>
        </w:rPr>
        <w:t>ü</w:t>
      </w:r>
      <w:r w:rsidRPr="00E454E7">
        <w:rPr>
          <w:rFonts w:ascii="Cambria"/>
        </w:rPr>
        <w:t xml:space="preserve">rcher, </w:t>
      </w:r>
      <w:r w:rsidRPr="00E454E7">
        <w:rPr>
          <w:rFonts w:ascii="Cambria"/>
          <w:i/>
          <w:iCs/>
        </w:rPr>
        <w:t>Modernlesen T</w:t>
      </w:r>
      <w:r w:rsidRPr="00E454E7">
        <w:rPr>
          <w:rFonts w:ascii="Cambria"/>
          <w:i/>
          <w:iCs/>
        </w:rPr>
        <w:t>ü</w:t>
      </w:r>
      <w:r w:rsidRPr="00E454E7">
        <w:rPr>
          <w:rFonts w:ascii="Cambria"/>
          <w:i/>
          <w:iCs/>
        </w:rPr>
        <w:t>rkiye</w:t>
      </w:r>
      <w:r w:rsidRPr="00E454E7">
        <w:rPr>
          <w:rFonts w:ascii="Cambria"/>
          <w:i/>
          <w:iCs/>
        </w:rPr>
        <w:t>’</w:t>
      </w:r>
      <w:r w:rsidRPr="00E454E7">
        <w:rPr>
          <w:rFonts w:ascii="Cambria"/>
          <w:i/>
          <w:iCs/>
        </w:rPr>
        <w:t>nin Tarihi (Turkey, a Modern History)</w:t>
      </w:r>
      <w:r w:rsidRPr="00E454E7">
        <w:rPr>
          <w:rFonts w:ascii="Cambria"/>
        </w:rPr>
        <w:t xml:space="preserve"> (Istanbul: Iletisim, 2008).</w:t>
      </w:r>
      <w:r>
        <w:fldChar w:fldCharType="end"/>
      </w:r>
    </w:p>
  </w:footnote>
  <w:footnote w:id="4">
    <w:p w14:paraId="5CE1D642" w14:textId="77777777" w:rsidR="008D4F0E" w:rsidRPr="00153D7E" w:rsidRDefault="008D4F0E" w:rsidP="008D4F0E">
      <w:pPr>
        <w:pStyle w:val="FootnoteText"/>
        <w:rPr>
          <w:lang w:val="en-US"/>
        </w:rPr>
      </w:pPr>
      <w:r w:rsidRPr="00100777">
        <w:rPr>
          <w:rStyle w:val="FootnoteReference"/>
        </w:rPr>
        <w:footnoteRef/>
      </w:r>
      <w:r w:rsidRPr="00153D7E">
        <w:rPr>
          <w:sz w:val="20"/>
        </w:rPr>
        <w:t xml:space="preserve"> </w:t>
      </w:r>
      <w:r w:rsidRPr="00153D7E">
        <w:rPr>
          <w:sz w:val="20"/>
        </w:rPr>
        <w:fldChar w:fldCharType="begin"/>
      </w:r>
      <w:r>
        <w:rPr>
          <w:sz w:val="20"/>
        </w:rPr>
        <w:instrText xml:space="preserve"> ADDIN ZOTERO_ITEM CSL_CITATION {"citationID":"tWUuqYFN","properties":{"formattedCitation":"{\\rtf Budak, \\uc0\\u8220{}The French Revolution\\uc0\\u8217{}s Gift to the Ottomans.\\uc0\\u8221{}}","plainCitation":"Budak, “The French Revolution’s Gift to the Ottomans.”"},"citationItems":[{"id":917,"uris":["http://zotero.org/users/1205741/items/NTKVXMGR"],"uri":["http://zotero.org/users/1205741/items/NTKVXMGR"],"itemData":{"id":917,"type":"article-journal","title":"The French Revolution’s Gift to the Ottomans: The Newspaper The Emergence of Turkish Media","container-title":"International Journal of Humanities and Social Science","page":"157-169","volume":"2","issue":"19, November (Special issue)","source":"Google Scholar","shortTitle":"The French Revolution’s Gift to the Ottomans","author":[{"family":"Budak","given":"Ali"}],"issued":{"date-parts":[["2012"]]},"accessed":{"date-parts":[["2013",4,4]]}}}],"schema":"https://github.com/citation-style-language/schema/raw/master/csl-citation.json"} </w:instrText>
      </w:r>
      <w:r w:rsidRPr="00153D7E">
        <w:rPr>
          <w:sz w:val="20"/>
        </w:rPr>
        <w:fldChar w:fldCharType="separate"/>
      </w:r>
      <w:r w:rsidRPr="00E454E7">
        <w:rPr>
          <w:rFonts w:ascii="Cambria"/>
          <w:sz w:val="20"/>
        </w:rPr>
        <w:t xml:space="preserve">Budak, </w:t>
      </w:r>
      <w:r w:rsidRPr="00E454E7">
        <w:rPr>
          <w:rFonts w:ascii="Cambria"/>
          <w:sz w:val="20"/>
        </w:rPr>
        <w:t>“</w:t>
      </w:r>
      <w:r w:rsidRPr="00E454E7">
        <w:rPr>
          <w:rFonts w:ascii="Cambria"/>
          <w:sz w:val="20"/>
        </w:rPr>
        <w:t>The French Revolution</w:t>
      </w:r>
      <w:r w:rsidRPr="00E454E7">
        <w:rPr>
          <w:rFonts w:ascii="Cambria"/>
          <w:sz w:val="20"/>
        </w:rPr>
        <w:t>’</w:t>
      </w:r>
      <w:r w:rsidRPr="00E454E7">
        <w:rPr>
          <w:rFonts w:ascii="Cambria"/>
          <w:sz w:val="20"/>
        </w:rPr>
        <w:t>s Gift to the Ottomans.</w:t>
      </w:r>
      <w:r w:rsidRPr="00E454E7">
        <w:rPr>
          <w:rFonts w:ascii="Cambria"/>
          <w:sz w:val="20"/>
        </w:rPr>
        <w:t>”</w:t>
      </w:r>
      <w:r w:rsidRPr="00153D7E">
        <w:rPr>
          <w:sz w:val="20"/>
        </w:rPr>
        <w:fldChar w:fldCharType="end"/>
      </w:r>
      <w:r w:rsidRPr="00153D7E">
        <w:rPr>
          <w:sz w:val="20"/>
        </w:rPr>
        <w:t xml:space="preserve"> P.161</w:t>
      </w:r>
      <w:r>
        <w:rPr>
          <w:sz w:val="20"/>
        </w:rPr>
        <w:t>-162</w:t>
      </w:r>
      <w:r w:rsidRPr="00153D7E">
        <w:rPr>
          <w:sz w:val="20"/>
        </w:rPr>
        <w:t>.</w:t>
      </w:r>
    </w:p>
  </w:footnote>
  <w:footnote w:id="5">
    <w:p w14:paraId="5EE57D50" w14:textId="77777777" w:rsidR="008D4F0E" w:rsidRPr="0033445B"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{"citationID":"cTYW9eHr","properties":{"formattedCitation":"{\\rtf Stanford J. Shaw and Ezel Kural Shaw, \\i History of the Ottoman Empire and Modern Turkey: Volume 2, Reform, Revolution, and Republic: The Rise of Modern Turkey 1808-1975\\i0{}, vol. 2, First Edition (Cambridge University Press, 1977).}","plainCitation":"Stanford J. Shaw and Ezel Kural Shaw, History of the Ottoman Empire and Modern Turkey: Volume 2, Reform, Revolution, and Republic: The Rise of Modern Turkey 1808-1975, vol. 2, First Edition (Cambridge University Press, 1977)."},"citationItems":[{"id":57,"uris":["http://zotero.org/users/1205741/items/9EJ6D3NQ"],"uri":["http://zotero.org/users/1205741/items/9EJ6D3NQ"],"itemData":{"id":57,"type":"book","title":"History of the Ottoman Empire and Modern Turkey: Volume 2, Reform, Revolution, and Republic: The Rise of Modern Turkey 1808-1975","publisher":"Cambridge University Press","volume":"2","number-of-pages":"548","edition":"First Edition","source":"Amazon.com","ISBN":"0521291666","shortTitle":"History of the Ottoman Empire and Modern Turkey","author":[{"family":"Shaw","given":"Stanford J."},{"family":"Shaw","given":"Ezel Kural"}],"issued":{"date-parts":[["1977"]]}}}],"schema":"https://github.com/citation-style-language/schema/raw/master/csl-citation.json"} </w:instrText>
      </w:r>
      <w:r>
        <w:fldChar w:fldCharType="separate"/>
      </w:r>
      <w:r w:rsidRPr="0033445B">
        <w:rPr>
          <w:rFonts w:ascii="Cambria"/>
        </w:rPr>
        <w:t xml:space="preserve">Stanford J. Shaw and Ezel Kural Shaw, </w:t>
      </w:r>
      <w:r w:rsidRPr="0033445B">
        <w:rPr>
          <w:rFonts w:ascii="Cambria"/>
          <w:i/>
          <w:iCs/>
        </w:rPr>
        <w:t>History of the Ottoman Empire and Modern Turkey: Volume 2, Reform, Revolution, and Republic: The Rise of Modern Turkey 1808-1975</w:t>
      </w:r>
      <w:r w:rsidRPr="0033445B">
        <w:rPr>
          <w:rFonts w:ascii="Cambria"/>
        </w:rPr>
        <w:t>, vol. 2, First Edition (Cambridge University Press, 1977).</w:t>
      </w:r>
      <w:r>
        <w:fldChar w:fldCharType="end"/>
      </w:r>
      <w:r>
        <w:t>p. 35.</w:t>
      </w:r>
    </w:p>
  </w:footnote>
  <w:footnote w:id="6">
    <w:p w14:paraId="25055003" w14:textId="77777777" w:rsidR="008D4F0E" w:rsidRPr="00AF71BC" w:rsidRDefault="008D4F0E" w:rsidP="008D4F0E">
      <w:pPr>
        <w:pStyle w:val="FootnoteText"/>
        <w:rPr>
          <w:lang w:val="en-US"/>
        </w:rPr>
      </w:pPr>
      <w:r w:rsidRPr="00100777">
        <w:rPr>
          <w:rStyle w:val="FootnoteReference"/>
        </w:rPr>
        <w:footnoteRef/>
      </w:r>
      <w:r w:rsidRPr="00AF71BC">
        <w:rPr>
          <w:sz w:val="20"/>
        </w:rPr>
        <w:t xml:space="preserve"> </w:t>
      </w:r>
      <w:r w:rsidRPr="00AF71BC">
        <w:rPr>
          <w:sz w:val="20"/>
        </w:rPr>
        <w:fldChar w:fldCharType="begin"/>
      </w:r>
      <w:r>
        <w:rPr>
          <w:sz w:val="20"/>
        </w:rPr>
        <w:instrText xml:space="preserve"> ADDIN ZOTERO_ITEM CSL_CITATION {"citationID":"aR6vtmdd","properties":{"formattedCitation":"{\\rtf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rsidRPr="00AF71BC">
        <w:rPr>
          <w:sz w:val="20"/>
        </w:rPr>
        <w:fldChar w:fldCharType="separate"/>
      </w:r>
      <w:r w:rsidRPr="00E454E7">
        <w:rPr>
          <w:rFonts w:ascii="Cambria"/>
          <w:sz w:val="20"/>
        </w:rPr>
        <w:t xml:space="preserve">Yalman, </w:t>
      </w:r>
      <w:r w:rsidRPr="00E454E7">
        <w:rPr>
          <w:rFonts w:ascii="Cambria"/>
          <w:i/>
          <w:iCs/>
          <w:sz w:val="20"/>
        </w:rPr>
        <w:t>The Development of Modern Turkey as Measured by Its Press</w:t>
      </w:r>
      <w:r w:rsidRPr="00E454E7">
        <w:rPr>
          <w:rFonts w:ascii="Cambria"/>
          <w:sz w:val="20"/>
        </w:rPr>
        <w:t>.</w:t>
      </w:r>
      <w:r w:rsidRPr="00AF71BC">
        <w:rPr>
          <w:sz w:val="20"/>
        </w:rPr>
        <w:fldChar w:fldCharType="end"/>
      </w:r>
      <w:r>
        <w:rPr>
          <w:sz w:val="20"/>
        </w:rPr>
        <w:t xml:space="preserve"> p.31.</w:t>
      </w:r>
    </w:p>
  </w:footnote>
  <w:footnote w:id="7">
    <w:p w14:paraId="57DB56C9" w14:textId="77777777" w:rsidR="008D4F0E" w:rsidRPr="00822B89" w:rsidRDefault="008D4F0E" w:rsidP="008D4F0E">
      <w:pPr>
        <w:pStyle w:val="FootnoteText"/>
        <w:jc w:val="both"/>
        <w:rPr>
          <w:sz w:val="20"/>
          <w:szCs w:val="20"/>
          <w:lang w:val="en-US"/>
        </w:rPr>
      </w:pPr>
      <w:r w:rsidRPr="00100777">
        <w:rPr>
          <w:rStyle w:val="FootnoteReference"/>
        </w:rPr>
        <w:footnoteRef/>
      </w:r>
      <w:r w:rsidRPr="00822B89">
        <w:rPr>
          <w:sz w:val="20"/>
          <w:szCs w:val="20"/>
        </w:rPr>
        <w:t xml:space="preserve"> </w:t>
      </w:r>
      <w:r w:rsidRPr="00822B89">
        <w:rPr>
          <w:rFonts w:ascii="Baskerville Old Face" w:hAnsi="Baskerville Old Face"/>
          <w:sz w:val="20"/>
          <w:szCs w:val="20"/>
          <w:lang w:val="en-US"/>
        </w:rPr>
        <w:t>I use Turkish to mean the Ottoman Turkish</w:t>
      </w:r>
      <w:r w:rsidRPr="00822B89">
        <w:rPr>
          <w:sz w:val="20"/>
          <w:szCs w:val="20"/>
          <w:lang w:val="en-US"/>
        </w:rPr>
        <w:t>.</w:t>
      </w:r>
    </w:p>
  </w:footnote>
  <w:footnote w:id="8">
    <w:p w14:paraId="149D32BE" w14:textId="77777777" w:rsidR="008D4F0E" w:rsidRPr="00822B89" w:rsidRDefault="008D4F0E" w:rsidP="008D4F0E">
      <w:pPr>
        <w:pStyle w:val="FootnoteText"/>
        <w:jc w:val="both"/>
        <w:rPr>
          <w:sz w:val="20"/>
          <w:szCs w:val="20"/>
          <w:lang w:val="en-US"/>
        </w:rPr>
      </w:pPr>
      <w:r w:rsidRPr="00100777">
        <w:rPr>
          <w:rStyle w:val="FootnoteReference"/>
        </w:rPr>
        <w:footnoteRef/>
      </w:r>
      <w:r w:rsidRPr="00822B89">
        <w:rPr>
          <w:sz w:val="20"/>
          <w:szCs w:val="20"/>
        </w:rPr>
        <w:t xml:space="preserve"> </w:t>
      </w:r>
      <w:r w:rsidRPr="00822B89">
        <w:rPr>
          <w:sz w:val="20"/>
          <w:szCs w:val="20"/>
        </w:rPr>
        <w:fldChar w:fldCharType="begin"/>
      </w:r>
      <w:r>
        <w:rPr>
          <w:sz w:val="20"/>
          <w:szCs w:val="20"/>
        </w:rPr>
        <w:instrText xml:space="preserve"> ADDIN ZOTERO_ITEM CSL_CITATION {"citationID":"VJFs9dKY","properties":{"formattedCitation":"{\\rtf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rsidRPr="00822B89">
        <w:rPr>
          <w:sz w:val="20"/>
          <w:szCs w:val="20"/>
        </w:rPr>
        <w:fldChar w:fldCharType="separate"/>
      </w:r>
      <w:r w:rsidRPr="00E454E7">
        <w:rPr>
          <w:rFonts w:ascii="Cambria"/>
          <w:sz w:val="20"/>
        </w:rPr>
        <w:t xml:space="preserve">Yalman, </w:t>
      </w:r>
      <w:r w:rsidRPr="00E454E7">
        <w:rPr>
          <w:rFonts w:ascii="Cambria"/>
          <w:i/>
          <w:iCs/>
          <w:sz w:val="20"/>
        </w:rPr>
        <w:t>The Development of Modern Turkey as Measured by Its Press</w:t>
      </w:r>
      <w:r w:rsidRPr="00E454E7">
        <w:rPr>
          <w:rFonts w:ascii="Cambria"/>
          <w:sz w:val="20"/>
        </w:rPr>
        <w:t>.</w:t>
      </w:r>
      <w:r w:rsidRPr="00822B89">
        <w:rPr>
          <w:sz w:val="20"/>
          <w:szCs w:val="20"/>
        </w:rPr>
        <w:fldChar w:fldCharType="end"/>
      </w:r>
      <w:r>
        <w:rPr>
          <w:sz w:val="20"/>
          <w:szCs w:val="20"/>
        </w:rPr>
        <w:t xml:space="preserve"> p.25.</w:t>
      </w:r>
    </w:p>
  </w:footnote>
  <w:footnote w:id="9">
    <w:p w14:paraId="6DB04EB4" w14:textId="77777777" w:rsidR="008D4F0E" w:rsidRPr="00B364A0"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{"citationID":"zL7xcyhI","properties":{"formattedCitation":"{\\rtf Budak, \\uc0\\u8220{}The French Revolution\\uc0\\u8217{}s Gift to the Ottomans\\uc0\\u8221{}; Yalman, \\i The Development of Modern Turkey as Measured by Its Press\\i0{}.}","plainCitation":"Budak, “The French Revolution’s Gift to the Ottomans”; Yalman, The Development of Modern Turkey as Measured by Its Press."},"citationItems":[{"id":917,"uris":["http://zotero.org/users/1205741/items/NTKVXMGR"],"uri":["http://zotero.org/users/1205741/items/NTKVXMGR"],"itemData":{"id":917,"type":"article-journal","title":"The French Revolution’s Gift to the Ottomans: The Newspaper The Emergence of Turkish Media","container-title":"International Journal of Humanities and Social Science","page":"157-169","volume":"2","issue":"19, November (Special issue)","source":"Google Scholar","shortTitle":"The French Revolution’s Gift to the Ottomans","author":[{"family":"Budak","given":"Ali"}],"issued":{"date-parts":[["2012"]]},"accessed":{"date-parts":[["2013",4,4]]}},"label":"page"},{"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Emin"}],"issued":{"date-parts":[["1914"]]},"accessed":{"date-parts":[["2013",4,3]]}},"label":"page"}],"schema":"https://github.com/citation-style-language/schema/raw/master/csl-citation.json"} </w:instrText>
      </w:r>
      <w:r>
        <w:fldChar w:fldCharType="separate"/>
      </w:r>
      <w:r w:rsidRPr="00E454E7">
        <w:rPr>
          <w:rFonts w:ascii="Cambria"/>
        </w:rPr>
        <w:t xml:space="preserve">Budak, </w:t>
      </w:r>
      <w:r w:rsidRPr="00E454E7">
        <w:rPr>
          <w:rFonts w:ascii="Cambria"/>
        </w:rPr>
        <w:t>“</w:t>
      </w:r>
      <w:r w:rsidRPr="00E454E7">
        <w:rPr>
          <w:rFonts w:ascii="Cambria"/>
        </w:rPr>
        <w:t>The French Revolution</w:t>
      </w:r>
      <w:r w:rsidRPr="00E454E7">
        <w:rPr>
          <w:rFonts w:ascii="Cambria"/>
        </w:rPr>
        <w:t>’</w:t>
      </w:r>
      <w:r w:rsidRPr="00E454E7">
        <w:rPr>
          <w:rFonts w:ascii="Cambria"/>
        </w:rPr>
        <w:t>s Gift to the Ottomans</w:t>
      </w:r>
      <w:r w:rsidRPr="00E454E7">
        <w:rPr>
          <w:rFonts w:ascii="Cambria"/>
        </w:rPr>
        <w:t>”</w:t>
      </w:r>
      <w:r w:rsidRPr="00E454E7">
        <w:rPr>
          <w:rFonts w:ascii="Cambria"/>
        </w:rPr>
        <w:t xml:space="preserve">; Yalman, </w:t>
      </w:r>
      <w:r w:rsidRPr="00E454E7">
        <w:rPr>
          <w:rFonts w:ascii="Cambria"/>
          <w:i/>
          <w:iCs/>
        </w:rPr>
        <w:t>The Development of Modern Turkey as Measured by Its Press</w:t>
      </w:r>
      <w:r w:rsidRPr="00E454E7">
        <w:rPr>
          <w:rFonts w:ascii="Cambria"/>
        </w:rPr>
        <w:t>.</w:t>
      </w:r>
      <w:r>
        <w:fldChar w:fldCharType="end"/>
      </w:r>
      <w:r>
        <w:t xml:space="preserve"> p.32.</w:t>
      </w:r>
    </w:p>
  </w:footnote>
  <w:footnote w:id="10">
    <w:p w14:paraId="1FC84BA0" w14:textId="77777777" w:rsidR="008D4F0E" w:rsidRPr="008F202A" w:rsidRDefault="008D4F0E" w:rsidP="008D4F0E">
      <w:pPr>
        <w:pStyle w:val="FootnoteText"/>
        <w:rPr>
          <w:lang w:val="en-US"/>
        </w:rPr>
      </w:pPr>
      <w:r w:rsidRPr="00100777">
        <w:rPr>
          <w:rStyle w:val="FootnoteReference"/>
        </w:rPr>
        <w:footnoteRef/>
      </w:r>
      <w:r>
        <w:t xml:space="preserve"> </w:t>
      </w:r>
      <w:r w:rsidRPr="008D4F0E">
        <w:fldChar w:fldCharType="begin"/>
      </w:r>
      <w:r w:rsidRPr="008D4F0E">
        <w:instrText xml:space="preserve"> ADDIN ZOTERO_ITEM CSL_CITATION {"citationID":"6agHKl6j","properties":{"formattedCitation":"{\\rtf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rsidRPr="008D4F0E">
        <w:fldChar w:fldCharType="separate"/>
      </w:r>
      <w:r w:rsidRPr="008D4F0E">
        <w:rPr>
          <w:rFonts w:ascii="Cambria"/>
        </w:rPr>
        <w:t xml:space="preserve">Yalman, </w:t>
      </w:r>
      <w:r w:rsidRPr="008D4F0E">
        <w:rPr>
          <w:rFonts w:ascii="Cambria"/>
          <w:i/>
          <w:iCs/>
        </w:rPr>
        <w:t>The Development of Modern Turkey as Measured by Its Press</w:t>
      </w:r>
      <w:r w:rsidRPr="008D4F0E">
        <w:rPr>
          <w:rFonts w:ascii="Cambria"/>
        </w:rPr>
        <w:t>.</w:t>
      </w:r>
      <w:r w:rsidRPr="008D4F0E">
        <w:fldChar w:fldCharType="end"/>
      </w:r>
      <w:r w:rsidRPr="008D4F0E">
        <w:t xml:space="preserve"> p.</w:t>
      </w:r>
      <w:r>
        <w:t>26.</w:t>
      </w:r>
    </w:p>
  </w:footnote>
  <w:footnote w:id="11">
    <w:p w14:paraId="6209F2E5" w14:textId="77777777" w:rsidR="008D4F0E" w:rsidRPr="00A850A1"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{"citationID":"7YAwYPnF","properties":{"formattedCitation":"{\\rtf Ebru Boyar, \\uc0\\u8220{}The Press and the Palace: The Two-way Relationship Between Abd\\uc0\\u252{}lhamid II and the Press, 1876-1908,\\uc0\\u8221{} \\i Bulletin of the School of Oriental and African Studies, University of London\\i0{} (2006): 417\\uc0\\u8211{}432.}","plainCitation":"Ebru Boyar, “The Press and the Palace: The Two-way Relationship Between Abdülhamid II and the Press, 1876-1908,” Bulletin of the School of Oriental and African Studies, University of London (2006): 417–432."},"citationItems":[{"id":911,"uris":["http://zotero.org/users/1205741/items/I8R3IRN2"],"uri":["http://zotero.org/users/1205741/items/I8R3IRN2"],"itemData":{"id":911,"type":"article-journal","title":"The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E454E7">
        <w:rPr>
          <w:rFonts w:ascii="Cambria"/>
        </w:rPr>
        <w:t xml:space="preserve">Ebru Boyar, </w:t>
      </w:r>
      <w:r w:rsidRPr="00E454E7">
        <w:rPr>
          <w:rFonts w:ascii="Cambria"/>
        </w:rPr>
        <w:t>“</w:t>
      </w:r>
      <w:r w:rsidRPr="00E454E7">
        <w:rPr>
          <w:rFonts w:ascii="Cambria"/>
        </w:rPr>
        <w:t>The Press and the Palace: The Two-way Relationship Between Abd</w:t>
      </w:r>
      <w:r w:rsidRPr="00E454E7">
        <w:rPr>
          <w:rFonts w:ascii="Cambria"/>
        </w:rPr>
        <w:t>ü</w:t>
      </w:r>
      <w:r w:rsidRPr="00E454E7">
        <w:rPr>
          <w:rFonts w:ascii="Cambria"/>
        </w:rPr>
        <w:t>lhamid II and the Press, 1876-1908,</w:t>
      </w:r>
      <w:r w:rsidRPr="00E454E7">
        <w:rPr>
          <w:rFonts w:ascii="Cambria"/>
        </w:rPr>
        <w:t>”</w:t>
      </w:r>
      <w:r w:rsidRPr="00E454E7">
        <w:rPr>
          <w:rFonts w:ascii="Cambria"/>
        </w:rPr>
        <w:t xml:space="preserve"> </w:t>
      </w:r>
      <w:r w:rsidRPr="00E454E7">
        <w:rPr>
          <w:rFonts w:ascii="Cambria"/>
          <w:i/>
          <w:iCs/>
        </w:rPr>
        <w:t>Bulletin of the School of Oriental and African Studies, University of London</w:t>
      </w:r>
      <w:r w:rsidRPr="00E454E7">
        <w:rPr>
          <w:rFonts w:ascii="Cambria"/>
        </w:rPr>
        <w:t xml:space="preserve"> (2006): 417</w:t>
      </w:r>
      <w:r w:rsidRPr="00E454E7">
        <w:rPr>
          <w:rFonts w:ascii="Cambria"/>
        </w:rPr>
        <w:t>–</w:t>
      </w:r>
      <w:r w:rsidRPr="00E454E7">
        <w:rPr>
          <w:rFonts w:ascii="Cambria"/>
        </w:rPr>
        <w:t>432.</w:t>
      </w:r>
      <w:r>
        <w:fldChar w:fldCharType="end"/>
      </w:r>
      <w:r>
        <w:t>, p.421.</w:t>
      </w:r>
    </w:p>
  </w:footnote>
  <w:footnote w:id="12">
    <w:p w14:paraId="32B816C1" w14:textId="77777777" w:rsidR="008D4F0E" w:rsidRPr="00E454E7"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{"citationID":"fgzDWC8k","properties":{"formattedCitation":"{\\rtf Nursen Mazici, \\uc0\\u8220{}1930\\uc0\\u8217{}a Kadar Basinin Durumu Ve 1931 Matbuat Kanunu,\\uc0\\u8221{} \\i Turk Inkilap Tarihi Enstitusu Dergisi\\i0{} 18, no. November (1996): 131\\uc0\\u8211{}54.}","plainCitation":"Nursen Mazici, “1930’a Kadar Basinin Durumu Ve 1931 Matbuat Kanunu,” Turk Inkilap Tarihi Enstitusu Dergisi 18, no. November (1996): 131–54."},"citationItems":[{"id":909,"uris":["http://zotero.org/users/1205741/items/34FEKRHR"],"uri":["http://zotero.org/users/1205741/items/34FEKRHR"],"itemData":{"id":909,"type":"article-journal","title":"1930'a kadar basinin durumu ve 1931 Matbuat Kanunu","container-title":"Turk Inkilap Tarihi Enstitusu Dergisi","page":"131-54","volume":"18","issue":"November","author":[{"family":"Mazici","given":"Nursen"}],"issued":{"date-parts":[["1996"]]}}}],"schema":"https://github.com/citation-style-language/schema/raw/master/csl-citation.json"} </w:instrText>
      </w:r>
      <w:r>
        <w:fldChar w:fldCharType="separate"/>
      </w:r>
      <w:r w:rsidRPr="00E454E7">
        <w:rPr>
          <w:rFonts w:ascii="Cambria"/>
        </w:rPr>
        <w:t xml:space="preserve">Nursen Mazici, </w:t>
      </w:r>
      <w:r w:rsidRPr="00E454E7">
        <w:rPr>
          <w:rFonts w:ascii="Cambria"/>
        </w:rPr>
        <w:t>“</w:t>
      </w:r>
      <w:r w:rsidRPr="00E454E7">
        <w:rPr>
          <w:rFonts w:ascii="Cambria"/>
        </w:rPr>
        <w:t>1930</w:t>
      </w:r>
      <w:r w:rsidRPr="00E454E7">
        <w:rPr>
          <w:rFonts w:ascii="Cambria"/>
        </w:rPr>
        <w:t>’</w:t>
      </w:r>
      <w:r w:rsidRPr="00E454E7">
        <w:rPr>
          <w:rFonts w:ascii="Cambria"/>
        </w:rPr>
        <w:t>a Kadar Basinin Durumu Ve 1931 Matbuat Kanunu,</w:t>
      </w:r>
      <w:r w:rsidRPr="00E454E7">
        <w:rPr>
          <w:rFonts w:ascii="Cambria"/>
        </w:rPr>
        <w:t>”</w:t>
      </w:r>
      <w:r w:rsidRPr="00E454E7">
        <w:rPr>
          <w:rFonts w:ascii="Cambria"/>
        </w:rPr>
        <w:t xml:space="preserve"> </w:t>
      </w:r>
      <w:r w:rsidRPr="00E454E7">
        <w:rPr>
          <w:rFonts w:ascii="Cambria"/>
          <w:i/>
          <w:iCs/>
        </w:rPr>
        <w:t>Turk Inkilap Tarihi Enstitusu Dergisi</w:t>
      </w:r>
      <w:r w:rsidRPr="00E454E7">
        <w:rPr>
          <w:rFonts w:ascii="Cambria"/>
        </w:rPr>
        <w:t xml:space="preserve"> 18, no. November (1996): 131</w:t>
      </w:r>
      <w:r w:rsidRPr="00E454E7">
        <w:rPr>
          <w:rFonts w:ascii="Cambria"/>
        </w:rPr>
        <w:t>–</w:t>
      </w:r>
      <w:r w:rsidRPr="00E454E7">
        <w:rPr>
          <w:rFonts w:ascii="Cambria"/>
        </w:rPr>
        <w:t>54.</w:t>
      </w:r>
      <w:r>
        <w:fldChar w:fldCharType="end"/>
      </w:r>
    </w:p>
  </w:footnote>
  <w:footnote w:id="13">
    <w:p w14:paraId="5B4DC29A" w14:textId="77777777" w:rsidR="008D4F0E" w:rsidRPr="00A25D16"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{"citationID":"zT7D6hZ8","properties":{"formattedCitation":"{\\rtf Boyar, \\uc0\\u8220{}The Press and the Palace\\uc0\\u8221{}; Mazici, \\uc0\\u8220{}1930\\uc0\\u8217{}a Kadar Basinin Durumu Ve 1931 Matbuat Kanunu.\\uc0\\u8221{}}","plainCitation":"Boyar, “The Press and the Palace”; Mazici, “1930’a Kadar Basinin Durumu Ve 1931 Matbuat Kanunu.”"},"citationItems":[{"id":911,"uris":["http://zotero.org/users/1205741/items/I8R3IRN2"],"uri":["http://zotero.org/users/1205741/items/I8R3IRN2"],"itemData":{"id":911,"type":"article-journal","title":"The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label":"page"},{"id":909,"uris":["http://zotero.org/users/1205741/items/34FEKRHR"],"uri":["http://zotero.org/users/1205741/items/34FEKRHR"],"itemData":{"id":909,"type":"article-journal","title":"1930'a kadar basinin durumu ve 1931 Matbuat Kanunu","container-title":"Turk Inkilap Tarihi Enstitusu Dergisi","page":"131-54","volume":"18","issue":"November","author":[{"family":"Mazici","given":"Nursen"}],"issued":{"date-parts":[["1996"]]}},"label":"page"}],"schema":"https://github.com/citation-style-language/schema/raw/master/csl-citation.json"} </w:instrText>
      </w:r>
      <w:r>
        <w:fldChar w:fldCharType="separate"/>
      </w:r>
      <w:r w:rsidRPr="00A25D16">
        <w:rPr>
          <w:rFonts w:ascii="Cambria"/>
        </w:rPr>
        <w:t xml:space="preserve">Boyar, </w:t>
      </w:r>
      <w:r w:rsidRPr="00A25D16">
        <w:rPr>
          <w:rFonts w:ascii="Cambria"/>
        </w:rPr>
        <w:t>“</w:t>
      </w:r>
      <w:r w:rsidRPr="00A25D16">
        <w:rPr>
          <w:rFonts w:ascii="Cambria"/>
        </w:rPr>
        <w:t>The Press and the Palace</w:t>
      </w:r>
      <w:r w:rsidRPr="00A25D16">
        <w:rPr>
          <w:rFonts w:ascii="Cambria"/>
        </w:rPr>
        <w:t>”</w:t>
      </w:r>
      <w:r>
        <w:rPr>
          <w:rFonts w:ascii="Cambria"/>
        </w:rPr>
        <w:t xml:space="preserve"> p.421.</w:t>
      </w:r>
      <w:r w:rsidRPr="00A25D16">
        <w:rPr>
          <w:rFonts w:ascii="Cambria"/>
        </w:rPr>
        <w:t xml:space="preserve">; Mazici, </w:t>
      </w:r>
      <w:r w:rsidRPr="00A25D16">
        <w:rPr>
          <w:rFonts w:ascii="Cambria"/>
        </w:rPr>
        <w:t>“</w:t>
      </w:r>
      <w:r w:rsidRPr="00A25D16">
        <w:rPr>
          <w:rFonts w:ascii="Cambria"/>
        </w:rPr>
        <w:t>1930</w:t>
      </w:r>
      <w:r w:rsidRPr="00A25D16">
        <w:rPr>
          <w:rFonts w:ascii="Cambria"/>
        </w:rPr>
        <w:t>’</w:t>
      </w:r>
      <w:r w:rsidRPr="00A25D16">
        <w:rPr>
          <w:rFonts w:ascii="Cambria"/>
        </w:rPr>
        <w:t>a Kadar Basinin Durumu Ve 1931 Matbuat Kanunu.</w:t>
      </w:r>
      <w:r w:rsidRPr="00A25D16">
        <w:rPr>
          <w:rFonts w:ascii="Cambria"/>
        </w:rPr>
        <w:t>”</w:t>
      </w:r>
      <w:r>
        <w:fldChar w:fldCharType="end"/>
      </w:r>
      <w:r>
        <w:t xml:space="preserve"> </w:t>
      </w:r>
      <w:r>
        <w:rPr>
          <w:sz w:val="20"/>
          <w:szCs w:val="20"/>
        </w:rPr>
        <w:t>p.134.</w:t>
      </w:r>
    </w:p>
  </w:footnote>
  <w:footnote w:id="14">
    <w:p w14:paraId="512F7BA4" w14:textId="77777777" w:rsidR="008D4F0E" w:rsidRPr="000C1B87" w:rsidRDefault="008D4F0E" w:rsidP="008D4F0E">
      <w:pPr>
        <w:pStyle w:val="FootnoteText"/>
        <w:rPr>
          <w:lang w:val="en-US"/>
        </w:rPr>
      </w:pPr>
      <w:r>
        <w:rPr>
          <w:rStyle w:val="FootnoteReference"/>
        </w:rPr>
        <w:footnoteRef/>
      </w:r>
      <w:r>
        <w:t xml:space="preserve"> </w:t>
      </w:r>
      <w:r>
        <w:fldChar w:fldCharType="begin"/>
      </w:r>
      <w:r>
        <w:instrText xml:space="preserve"> ADDIN ZOTERO_ITEM CSL_CITATION {"citationID":"10Twndru","properties":{"formattedCitation":"{\\rtf Mardin, \\i The Genesis of Young Ottoman Thought\\i0{}.}","plainCitation":"Mardin, The Genesis of Young Ottoman Thought."},"citationItems":[{"id":357,"uris":["http://zotero.org/users/1205741/items/UNKT3IQ2"],"uri":["http://zotero.org/users/1205741/items/UNKT3IQ2"],"itemData":{"id":357,"type":"book","title":"The Genesis of Young Ottoman Thought: A Study in the Modernization of Turkish Political Ideas","publisher":"Syracuse Univ Pr (Sd)","number-of-pages":"456","source":"Amazon.com","ISBN":"0815628617","shortTitle":"The Genesis of Young Ottoman Thought","author":[{"family":"Mardin","given":"Serif"}],"issued":{"date-parts":[["2000"]]}}}],"schema":"https://github.com/citation-style-language/schema/raw/master/csl-citation.json"} </w:instrText>
      </w:r>
      <w:r>
        <w:fldChar w:fldCharType="separate"/>
      </w:r>
      <w:r w:rsidRPr="000C1B87">
        <w:rPr>
          <w:rFonts w:ascii="Cambria"/>
        </w:rPr>
        <w:t xml:space="preserve">Mardin, </w:t>
      </w:r>
      <w:r w:rsidRPr="000C1B87">
        <w:rPr>
          <w:rFonts w:ascii="Cambria"/>
          <w:i/>
          <w:iCs/>
        </w:rPr>
        <w:t>The Genesis of Young Ottoman Thought</w:t>
      </w:r>
      <w:r w:rsidRPr="000C1B87">
        <w:rPr>
          <w:rFonts w:ascii="Cambria"/>
        </w:rPr>
        <w:t>.</w:t>
      </w:r>
      <w:r>
        <w:fldChar w:fldCharType="end"/>
      </w:r>
      <w:r>
        <w:t xml:space="preserve"> P. 12.</w:t>
      </w:r>
    </w:p>
  </w:footnote>
  <w:footnote w:id="15">
    <w:p w14:paraId="25A7196C" w14:textId="77777777" w:rsidR="008D4F0E" w:rsidRPr="006B08E5"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{"citationID":"ku4qDGH3","properties":{"formattedCitation":"{\\rtf Boyar, \\uc0\\u8220{}The Press and the Palace.\\uc0\\u8221{}}","plainCitation":"Boyar, “The Press and the Palace.”"},"citationItems":[{"id":911,"uris":["http://zotero.org/users/1205741/items/I8R3IRN2"],"uri":["http://zotero.org/users/1205741/items/I8R3IRN2"],"itemData":{"id":911,"type":"article-journal","title":"The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6B08E5">
        <w:rPr>
          <w:rFonts w:ascii="Cambria"/>
        </w:rPr>
        <w:t xml:space="preserve">Boyar, </w:t>
      </w:r>
      <w:r w:rsidRPr="006B08E5">
        <w:rPr>
          <w:rFonts w:ascii="Cambria"/>
        </w:rPr>
        <w:t>“</w:t>
      </w:r>
      <w:r w:rsidRPr="006B08E5">
        <w:rPr>
          <w:rFonts w:ascii="Cambria"/>
        </w:rPr>
        <w:t>The Press and the Palace.</w:t>
      </w:r>
      <w:r w:rsidRPr="006B08E5">
        <w:rPr>
          <w:rFonts w:ascii="Cambria"/>
        </w:rPr>
        <w:t>”</w:t>
      </w:r>
      <w:r>
        <w:fldChar w:fldCharType="end"/>
      </w:r>
      <w:r>
        <w:t xml:space="preserve"> P.421.</w:t>
      </w:r>
    </w:p>
  </w:footnote>
  <w:footnote w:id="16">
    <w:p w14:paraId="16870BB8" w14:textId="77777777" w:rsidR="008D4F0E" w:rsidRPr="005E3684"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{"citationID":"hH8AgFgS","properties":{"formattedCitation":"{\\rtf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fldChar w:fldCharType="separate"/>
      </w:r>
      <w:r w:rsidRPr="003D7AF2">
        <w:rPr>
          <w:rFonts w:ascii="Cambria"/>
        </w:rPr>
        <w:t xml:space="preserve">Yalman, </w:t>
      </w:r>
      <w:r w:rsidRPr="003D7AF2">
        <w:rPr>
          <w:rFonts w:ascii="Cambria"/>
          <w:i/>
          <w:iCs/>
        </w:rPr>
        <w:t>The Development of Modern Turkey as Measured by Its Press</w:t>
      </w:r>
      <w:r w:rsidRPr="003D7AF2">
        <w:rPr>
          <w:rFonts w:ascii="Cambria"/>
        </w:rPr>
        <w:t>.</w:t>
      </w:r>
      <w:r>
        <w:fldChar w:fldCharType="end"/>
      </w:r>
      <w:r>
        <w:t xml:space="preserve"> p.44 (Yalman)</w:t>
      </w:r>
    </w:p>
  </w:footnote>
  <w:footnote w:id="17">
    <w:p w14:paraId="55D95042" w14:textId="77777777" w:rsidR="008D4F0E" w:rsidRPr="00857B2F"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{"citationID":"6jMVqnu5","properties":{"formattedCitation":"{\\rtf Shaw and Shaw, \\i History of the Ottoman Empire and Modern Turkey\\i0{}; \\uc0\\u350{}erif Mardin, \\i J\\uc0\\u246{}n T\\uc0\\u252{}rklerin siyasi fikirleri, 1895-1908\\i0{} (\\uc0\\u304{}leti\\uc0\\u351{}im Yay\\uc0\\u305{}nlar\\uc0\\u305{}, 1983).}","plainCitation":"Shaw and Shaw, History of the Ottoman Empire and Modern Turkey; Şerif Mardin, Jön Türklerin siyasi fikirleri, 1895-1908 (İletişim Yayınları, 1983)."},"citationItems":[{"id":57,"uris":["http://zotero.org/users/1205741/items/9EJ6D3NQ"],"uri":["http://zotero.org/users/1205741/items/9EJ6D3NQ"],"itemData":{"id":57,"type":"book","title":"History of the Ottoman Empire and Modern Turkey: Volume 2, Reform, Revolution, and Republic: The Rise of Modern Turkey 1808-1975","publisher":"Cambridge University Press","volume":"2","number-of-pages":"548","edition":"First Edition","source":"Amazon.com","ISBN":"0521291666","shortTitle":"History of the Ottoman Empire and Modern Turkey","author":[{"family":"Shaw","given":"Stanford J."},{"family":"Shaw","given":"Ezel Kural"}],"issued":{"date-parts":[["1977"]]}},"label":"page"},{"id":10,"uris":["http://zotero.org/users/1205741/items/EGJZKRBJ"],"uri":["http://zotero.org/users/1205741/items/EGJZKRBJ"],"itemData":{"id":10,"type":"book","title":"Jön Türklerin siyasi fikirleri, 1895-1908","publisher":"İletişim Yayınları","number-of-pages":"262","source":"Google Books","language":"tr","author":[{"family":"Mardin","given":"Şerif"}],"issued":{"date-parts":[["1983"]]}},"label":"page"}],"schema":"https://github.com/citation-style-language/schema/raw/master/csl-citation.json"} </w:instrText>
      </w:r>
      <w:r>
        <w:fldChar w:fldCharType="separate"/>
      </w:r>
      <w:r w:rsidRPr="0033445B">
        <w:rPr>
          <w:rFonts w:ascii="Cambria"/>
        </w:rPr>
        <w:t xml:space="preserve">Shaw and Shaw, </w:t>
      </w:r>
      <w:r w:rsidRPr="0033445B">
        <w:rPr>
          <w:rFonts w:ascii="Cambria"/>
          <w:i/>
          <w:iCs/>
        </w:rPr>
        <w:t>History of the Ottoman Empire and Modern Turkey</w:t>
      </w:r>
      <w:r w:rsidRPr="0033445B">
        <w:rPr>
          <w:rFonts w:ascii="Cambria"/>
        </w:rPr>
        <w:t xml:space="preserve">; </w:t>
      </w:r>
      <w:r w:rsidRPr="0033445B">
        <w:rPr>
          <w:rFonts w:ascii="Cambria"/>
        </w:rPr>
        <w:t>Ş</w:t>
      </w:r>
      <w:r w:rsidRPr="0033445B">
        <w:rPr>
          <w:rFonts w:ascii="Cambria"/>
        </w:rPr>
        <w:t xml:space="preserve">erif Mardin, </w:t>
      </w:r>
      <w:r w:rsidRPr="0033445B">
        <w:rPr>
          <w:rFonts w:ascii="Cambria"/>
          <w:i/>
          <w:iCs/>
        </w:rPr>
        <w:t>J</w:t>
      </w:r>
      <w:r w:rsidRPr="0033445B">
        <w:rPr>
          <w:rFonts w:ascii="Cambria"/>
          <w:i/>
          <w:iCs/>
        </w:rPr>
        <w:t>ö</w:t>
      </w:r>
      <w:r w:rsidRPr="0033445B">
        <w:rPr>
          <w:rFonts w:ascii="Cambria"/>
          <w:i/>
          <w:iCs/>
        </w:rPr>
        <w:t>n T</w:t>
      </w:r>
      <w:r w:rsidRPr="0033445B">
        <w:rPr>
          <w:rFonts w:ascii="Cambria"/>
          <w:i/>
          <w:iCs/>
        </w:rPr>
        <w:t>ü</w:t>
      </w:r>
      <w:r w:rsidRPr="0033445B">
        <w:rPr>
          <w:rFonts w:ascii="Cambria"/>
          <w:i/>
          <w:iCs/>
        </w:rPr>
        <w:t>rklerin siyasi fikirleri, 1895-1908</w:t>
      </w:r>
      <w:r w:rsidRPr="0033445B">
        <w:rPr>
          <w:rFonts w:ascii="Cambria"/>
        </w:rPr>
        <w:t xml:space="preserve"> (</w:t>
      </w:r>
      <w:r w:rsidRPr="0033445B">
        <w:rPr>
          <w:rFonts w:ascii="Cambria"/>
        </w:rPr>
        <w:t>İ</w:t>
      </w:r>
      <w:r w:rsidRPr="0033445B">
        <w:rPr>
          <w:rFonts w:ascii="Cambria"/>
        </w:rPr>
        <w:t>leti</w:t>
      </w:r>
      <w:r w:rsidRPr="0033445B">
        <w:rPr>
          <w:rFonts w:ascii="Cambria"/>
        </w:rPr>
        <w:t>ş</w:t>
      </w:r>
      <w:r w:rsidRPr="0033445B">
        <w:rPr>
          <w:rFonts w:ascii="Cambria"/>
        </w:rPr>
        <w:t>im Yay</w:t>
      </w:r>
      <w:r w:rsidRPr="0033445B">
        <w:rPr>
          <w:rFonts w:ascii="Cambria"/>
        </w:rPr>
        <w:t>ı</w:t>
      </w:r>
      <w:r w:rsidRPr="0033445B">
        <w:rPr>
          <w:rFonts w:ascii="Cambria"/>
        </w:rPr>
        <w:t>nlar</w:t>
      </w:r>
      <w:r w:rsidRPr="0033445B">
        <w:rPr>
          <w:rFonts w:ascii="Cambria"/>
        </w:rPr>
        <w:t>ı</w:t>
      </w:r>
      <w:r w:rsidRPr="0033445B">
        <w:rPr>
          <w:rFonts w:ascii="Cambria"/>
        </w:rPr>
        <w:t>, 1983).</w:t>
      </w:r>
      <w:r>
        <w:fldChar w:fldCharType="end"/>
      </w:r>
    </w:p>
  </w:footnote>
  <w:footnote w:id="18">
    <w:p w14:paraId="0CE8D995" w14:textId="77777777" w:rsidR="008D4F0E" w:rsidRPr="00A40345"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{"citationID":"OkSBCQpt","properties":{"formattedCitation":"{\\rtf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fldChar w:fldCharType="separate"/>
      </w:r>
      <w:r w:rsidRPr="00857B2F">
        <w:rPr>
          <w:rFonts w:ascii="Cambria"/>
        </w:rPr>
        <w:t xml:space="preserve">Yalman, </w:t>
      </w:r>
      <w:r w:rsidRPr="00857B2F">
        <w:rPr>
          <w:rFonts w:ascii="Cambria"/>
          <w:i/>
          <w:iCs/>
        </w:rPr>
        <w:t>The Development of Modern Turkey as Measured by Its Press</w:t>
      </w:r>
      <w:r w:rsidRPr="00857B2F">
        <w:rPr>
          <w:rFonts w:ascii="Cambria"/>
        </w:rPr>
        <w:t>.</w:t>
      </w:r>
      <w:r>
        <w:fldChar w:fldCharType="end"/>
      </w:r>
      <w:r>
        <w:t xml:space="preserve"> p.42.</w:t>
      </w:r>
    </w:p>
  </w:footnote>
  <w:footnote w:id="19">
    <w:p w14:paraId="5BEFE84B" w14:textId="77777777" w:rsidR="008D4F0E" w:rsidRPr="003A7BD7"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s3lXCaQv","properties":{"formattedCitation":"Ibid.","plainCitation":"Ibid."},"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fldChar w:fldCharType="separate"/>
      </w:r>
      <w:r>
        <w:rPr>
          <w:noProof/>
        </w:rPr>
        <w:t>Ibid.</w:t>
      </w:r>
      <w:r>
        <w:fldChar w:fldCharType="end"/>
      </w:r>
      <w:r>
        <w:t xml:space="preserve"> pp.46-48. (Yalman)</w:t>
      </w:r>
    </w:p>
  </w:footnote>
  <w:footnote w:id="20">
    <w:p w14:paraId="1DAF63CF" w14:textId="77777777" w:rsidR="008D4F0E" w:rsidRPr="00E454E7" w:rsidRDefault="008D4F0E" w:rsidP="008D4F0E">
      <w:pPr>
        <w:pStyle w:val="FootnoteText"/>
        <w:rPr>
          <w:lang w:val="en-US"/>
        </w:rPr>
      </w:pPr>
      <w:r w:rsidRPr="00100777">
        <w:rPr>
          <w:rStyle w:val="FootnoteReference"/>
        </w:rPr>
        <w:footnoteRef/>
      </w:r>
      <w:r>
        <w:t xml:space="preserve"> </w:t>
      </w:r>
      <w:r w:rsidRPr="005C454F">
        <w:rPr>
          <w:rFonts w:ascii="Times New Roman" w:hAnsi="Times New Roman" w:cs="Times New Roman"/>
          <w:lang w:val="en-US"/>
        </w:rPr>
        <w:t>Ş</w:t>
      </w:r>
      <w:r w:rsidRPr="005C454F">
        <w:rPr>
          <w:rFonts w:ascii="Baskerville Old Face" w:hAnsi="Baskerville Old Face"/>
          <w:lang w:val="en-US"/>
        </w:rPr>
        <w:t>inasi</w:t>
      </w:r>
      <w:r>
        <w:rPr>
          <w:rFonts w:ascii="Baskerville Old Face" w:hAnsi="Baskerville Old Face"/>
          <w:lang w:val="en-US"/>
        </w:rPr>
        <w:t xml:space="preserve"> chose to live</w:t>
      </w:r>
      <w:r w:rsidRPr="00B80939">
        <w:rPr>
          <w:rFonts w:ascii="Baskerville Old Face" w:hAnsi="Baskerville Old Face"/>
          <w:lang w:val="en-US"/>
        </w:rPr>
        <w:t xml:space="preserve"> as a recluse</w:t>
      </w:r>
      <w:r>
        <w:rPr>
          <w:rFonts w:ascii="Baskerville Old Face" w:hAnsi="Baskerville Old Face"/>
          <w:lang w:val="en-US"/>
        </w:rPr>
        <w:t>.</w:t>
      </w:r>
      <w:r>
        <w:t xml:space="preserve"> </w:t>
      </w:r>
      <w:r>
        <w:fldChar w:fldCharType="begin"/>
      </w:r>
      <w:r>
        <w:instrText xml:space="preserve"> ADDIN ZOTERO_ITEM CSL_CITATION {"citationID":"U3cDWdBB","properties":{"formattedCitation":"{\\rtf \\uc0\\u8220{}Ibrahim Sinasi,\\uc0\\u8221{} \\i Britannica Online Encyclopedia, Academic Edition\\i0{}, 2013, http://www.britannica.com/EBchecked/topic/545616/Ibrahim-Sinasi.}","plainCitation":"“Ibrahim Sinasi,” Britannica Online Encyclopedia, Academic Edition, 2013, http://www.britannica.com/EBchecked/topic/545616/Ibrahim-Sinasi."},"citationItems":[{"id":906,"uris":["http://zotero.org/users/1205741/items/I8ANVB7K"],"uri":["http://zotero.org/users/1205741/items/I8ANVB7K"],"itemData":{"id":906,"type":"entry-encyclopedia","title":"Ibrahim Sinasi","container-title":"Britannica Online Encyclopedia, Academic Edition","edition":"Encyclopædia Britannica Inc.","abstract":"Ibrahim Sinasi (Turkish author), 1826 Constantinople [now Istanbul] Sept. 13, 1871 Constantinople writer who founded and led a Western movement in 19th-century Turkish literature.","URL":"http://www.britannica.com/EBchecked/topic/545616/Ibrahim-Sinasi","issued":{"date-parts":[["2013"]]},"accessed":{"date-parts":[["2013",4,3]]}}}],"schema":"https://github.com/citation-style-language/schema/raw/master/csl-citation.json"} </w:instrText>
      </w:r>
      <w:r>
        <w:fldChar w:fldCharType="separate"/>
      </w:r>
      <w:r w:rsidRPr="00E454E7">
        <w:rPr>
          <w:rFonts w:ascii="Cambria"/>
        </w:rPr>
        <w:t>“</w:t>
      </w:r>
      <w:r w:rsidRPr="00E454E7">
        <w:rPr>
          <w:rFonts w:ascii="Cambria"/>
        </w:rPr>
        <w:t>Ibrahim Sinasi,</w:t>
      </w:r>
      <w:r w:rsidRPr="00E454E7">
        <w:rPr>
          <w:rFonts w:ascii="Cambria"/>
        </w:rPr>
        <w:t>”</w:t>
      </w:r>
      <w:r w:rsidRPr="00E454E7">
        <w:rPr>
          <w:rFonts w:ascii="Cambria"/>
        </w:rPr>
        <w:t xml:space="preserve"> </w:t>
      </w:r>
      <w:r w:rsidRPr="00E454E7">
        <w:rPr>
          <w:rFonts w:ascii="Cambria"/>
          <w:i/>
          <w:iCs/>
        </w:rPr>
        <w:t>Britannica Online Encyclopedia, Academic Edition</w:t>
      </w:r>
      <w:r w:rsidRPr="00E454E7">
        <w:rPr>
          <w:rFonts w:ascii="Cambria"/>
        </w:rPr>
        <w:t>, 2013, http://www.britannica.com/EBchecked/topic/545616/Ibrahim-Sinasi.</w:t>
      </w:r>
      <w:r>
        <w:fldChar w:fldCharType="end"/>
      </w:r>
    </w:p>
  </w:footnote>
  <w:footnote w:id="21">
    <w:p w14:paraId="6C94B884" w14:textId="77777777" w:rsidR="008D4F0E" w:rsidRPr="003D7AF2"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{"citationID":"4kqtIwth","properties":{"formattedCitation":"{\\rtf Boyar, \\uc0\\u8220{}The Press and the Palace.\\uc0\\u8221{}}","plainCitation":"Boyar, “The Press and the Palace.”"},"citationItems":[{"id":911,"uris":["http://zotero.org/users/1205741/items/I8R3IRN2"],"uri":["http://zotero.org/users/1205741/items/I8R3IRN2"],"itemData":{"id":911,"type":"article-journal","title":"The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3D7AF2">
        <w:rPr>
          <w:rFonts w:ascii="Cambria"/>
        </w:rPr>
        <w:t xml:space="preserve">Boyar, </w:t>
      </w:r>
      <w:r w:rsidRPr="003D7AF2">
        <w:rPr>
          <w:rFonts w:ascii="Cambria"/>
        </w:rPr>
        <w:t>“</w:t>
      </w:r>
      <w:r w:rsidRPr="003D7AF2">
        <w:rPr>
          <w:rFonts w:ascii="Cambria"/>
        </w:rPr>
        <w:t>The Press and the Palace.</w:t>
      </w:r>
      <w:r w:rsidRPr="003D7AF2">
        <w:rPr>
          <w:rFonts w:ascii="Cambria"/>
        </w:rPr>
        <w:t>”</w:t>
      </w:r>
      <w:r>
        <w:fldChar w:fldCharType="end"/>
      </w:r>
      <w:r>
        <w:t xml:space="preserve"> p. 422.</w:t>
      </w:r>
    </w:p>
  </w:footnote>
  <w:footnote w:id="22">
    <w:p w14:paraId="20778243" w14:textId="77777777" w:rsidR="008D4F0E" w:rsidRPr="00822B89" w:rsidRDefault="008D4F0E" w:rsidP="008D4F0E">
      <w:pPr>
        <w:pStyle w:val="FootnoteText"/>
        <w:jc w:val="both"/>
        <w:rPr>
          <w:sz w:val="20"/>
          <w:szCs w:val="20"/>
          <w:lang w:val="en-US"/>
        </w:rPr>
      </w:pPr>
      <w:r w:rsidRPr="00100777">
        <w:rPr>
          <w:rStyle w:val="FootnoteReference"/>
        </w:rPr>
        <w:footnoteRef/>
      </w:r>
      <w:r w:rsidRPr="00822B89">
        <w:rPr>
          <w:sz w:val="20"/>
          <w:szCs w:val="20"/>
        </w:rPr>
        <w:t xml:space="preserve"> </w:t>
      </w:r>
      <w:r w:rsidRPr="00822B89">
        <w:rPr>
          <w:sz w:val="20"/>
          <w:szCs w:val="20"/>
        </w:rPr>
        <w:fldChar w:fldCharType="begin"/>
      </w:r>
      <w:r>
        <w:rPr>
          <w:sz w:val="20"/>
          <w:szCs w:val="20"/>
        </w:rPr>
        <w:instrText xml:space="preserve"> ADDIN ZOTERO_ITEM CSL_CITATION {"citationID":"QyXnIbPE","properties":{"formattedCitation":"Ibid.","plainCitation":"Ibid.","dontUpdate":true},"citationItems":[{"id":909,"uris":["http://zotero.org/users/1205741/items/34FEKRHR"],"uri":["http://zotero.org/users/1205741/items/34FEKRHR"],"itemData":{"id":909,"type":"article-journal","title":"1930'a kadar basinin durumu ve 1931 Matbuat Kanunu","container-title":"Turk Inkilap Tarihi Enstitusu Dergisi","page":"131-54","volume":"18","issue":"November","author":[{"family":"Mazici","given":"Nursen"}],"issued":{"date-parts":[["1996"]]}}}],"schema":"https://github.com/citation-style-language/schema/raw/master/csl-citation.json"} </w:instrText>
      </w:r>
      <w:r w:rsidRPr="00822B89">
        <w:rPr>
          <w:sz w:val="20"/>
          <w:szCs w:val="20"/>
        </w:rPr>
        <w:fldChar w:fldCharType="separate"/>
      </w:r>
      <w:r w:rsidRPr="001145A3">
        <w:rPr>
          <w:rFonts w:ascii="Cambria"/>
          <w:sz w:val="20"/>
          <w:szCs w:val="20"/>
        </w:rPr>
        <w:t xml:space="preserve"> </w:t>
      </w:r>
      <w:r w:rsidRPr="00822B89">
        <w:rPr>
          <w:rFonts w:ascii="Cambria"/>
          <w:sz w:val="20"/>
          <w:szCs w:val="20"/>
        </w:rPr>
        <w:t>Mazici,</w:t>
      </w:r>
      <w:r w:rsidRPr="00822B89">
        <w:rPr>
          <w:noProof/>
          <w:sz w:val="20"/>
          <w:szCs w:val="20"/>
        </w:rPr>
        <w:t>.</w:t>
      </w:r>
      <w:r w:rsidRPr="00822B89">
        <w:rPr>
          <w:sz w:val="20"/>
          <w:szCs w:val="20"/>
        </w:rPr>
        <w:fldChar w:fldCharType="end"/>
      </w:r>
      <w:r>
        <w:rPr>
          <w:sz w:val="20"/>
          <w:szCs w:val="20"/>
        </w:rPr>
        <w:t xml:space="preserve"> p.134.</w:t>
      </w:r>
    </w:p>
  </w:footnote>
  <w:footnote w:id="23">
    <w:p w14:paraId="23CD03CE" w14:textId="77777777" w:rsidR="008D4F0E" w:rsidRPr="00BF58AF" w:rsidRDefault="008D4F0E" w:rsidP="008D4F0E">
      <w:pPr>
        <w:pStyle w:val="FootnoteText"/>
        <w:rPr>
          <w:lang w:val="en-US"/>
        </w:rPr>
      </w:pPr>
      <w:r w:rsidRPr="00100777">
        <w:rPr>
          <w:rStyle w:val="FootnoteReference"/>
        </w:rPr>
        <w:footnoteRef/>
      </w:r>
      <w:r>
        <w:t xml:space="preserve"> 11 Mart 1305: Basbakanlik Osmanli Arsivi, Istanbul, Y.PRK. A. 5-50 in </w:t>
      </w:r>
      <w:r>
        <w:fldChar w:fldCharType="begin"/>
      </w:r>
      <w:r>
        <w:instrText xml:space="preserve"> ADDIN ZOTERO_ITEM CSL_CITATION {"citationID":"qFTuIT7P","properties":{"formattedCitation":"{\\rtf Boyar, \\uc0\\u8220{}The Press and the Palace.\\uc0\\u8221{}}","plainCitation":"Boyar, “The Press and the Palace.”"},"citationItems":[{"id":911,"uris":["http://zotero.org/users/1205741/items/I8R3IRN2"],"uri":["http://zotero.org/users/1205741/items/I8R3IRN2"],"itemData":{"id":911,"type":"article-journal","title":"The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BF58AF">
        <w:rPr>
          <w:rFonts w:ascii="Cambria"/>
        </w:rPr>
        <w:t xml:space="preserve">Boyar, </w:t>
      </w:r>
      <w:r w:rsidRPr="00BF58AF">
        <w:rPr>
          <w:rFonts w:ascii="Cambria"/>
        </w:rPr>
        <w:t>“</w:t>
      </w:r>
      <w:r w:rsidRPr="00BF58AF">
        <w:rPr>
          <w:rFonts w:ascii="Cambria"/>
        </w:rPr>
        <w:t>The Press and the Palace.</w:t>
      </w:r>
      <w:r w:rsidRPr="00BF58AF">
        <w:rPr>
          <w:rFonts w:ascii="Cambria"/>
        </w:rPr>
        <w:t>”</w:t>
      </w:r>
      <w:r>
        <w:fldChar w:fldCharType="end"/>
      </w:r>
    </w:p>
  </w:footnote>
  <w:footnote w:id="24">
    <w:p w14:paraId="0B17C9E9" w14:textId="77777777" w:rsidR="008D4F0E" w:rsidRPr="00822B89" w:rsidRDefault="008D4F0E" w:rsidP="008D4F0E">
      <w:pPr>
        <w:pStyle w:val="FootnoteText"/>
        <w:jc w:val="both"/>
        <w:rPr>
          <w:sz w:val="20"/>
          <w:szCs w:val="20"/>
          <w:lang w:val="en-US"/>
        </w:rPr>
      </w:pPr>
      <w:r w:rsidRPr="00100777">
        <w:rPr>
          <w:rStyle w:val="FootnoteReference"/>
        </w:rPr>
        <w:footnoteRef/>
      </w:r>
      <w:r w:rsidRPr="00822B89">
        <w:rPr>
          <w:sz w:val="20"/>
          <w:szCs w:val="20"/>
        </w:rPr>
        <w:t xml:space="preserve"> </w:t>
      </w:r>
      <w:r w:rsidRPr="00822B89">
        <w:rPr>
          <w:sz w:val="20"/>
          <w:szCs w:val="20"/>
        </w:rPr>
        <w:fldChar w:fldCharType="begin"/>
      </w:r>
      <w:r>
        <w:rPr>
          <w:sz w:val="20"/>
          <w:szCs w:val="20"/>
        </w:rPr>
        <w:instrText xml:space="preserve"> ADDIN ZOTERO_ITEM CSL_CITATION {"citationID":"2KyyKpJv","properties":{"formattedCitation":"{\\rtf Mazici, \\uc0\\u8220{}1930\\uc0\\u8217{}a Kadar Basinin Durumu Ve 1931 Matbuat Kanunu.\\uc0\\u8221{}}","plainCitation":"Mazici, “1930’a Kadar Basinin Durumu Ve 1931 Matbuat Kanunu.”"},"citationItems":[{"id":909,"uris":["http://zotero.org/users/1205741/items/34FEKRHR"],"uri":["http://zotero.org/users/1205741/items/34FEKRHR"],"itemData":{"id":909,"type":"article-journal","title":"1930'a kadar basinin durumu ve 1931 Matbuat Kanunu","container-title":"Turk Inkilap Tarihi Enstitusu Dergisi","page":"131-54","volume":"18","issue":"November","author":[{"family":"Mazici","given":"Nursen"}],"issued":{"date-parts":[["1996"]]}}}],"schema":"https://github.com/citation-style-language/schema/raw/master/csl-citation.json"} </w:instrText>
      </w:r>
      <w:r w:rsidRPr="00822B89">
        <w:rPr>
          <w:sz w:val="20"/>
          <w:szCs w:val="20"/>
        </w:rPr>
        <w:fldChar w:fldCharType="separate"/>
      </w:r>
      <w:r w:rsidRPr="00BF58AF">
        <w:rPr>
          <w:rFonts w:ascii="Cambria"/>
          <w:sz w:val="20"/>
        </w:rPr>
        <w:t xml:space="preserve">Mazici, </w:t>
      </w:r>
      <w:r w:rsidRPr="00BF58AF">
        <w:rPr>
          <w:rFonts w:ascii="Cambria"/>
          <w:sz w:val="20"/>
        </w:rPr>
        <w:t>“</w:t>
      </w:r>
      <w:r w:rsidRPr="00BF58AF">
        <w:rPr>
          <w:rFonts w:ascii="Cambria"/>
          <w:sz w:val="20"/>
        </w:rPr>
        <w:t>1930</w:t>
      </w:r>
      <w:r w:rsidRPr="00BF58AF">
        <w:rPr>
          <w:rFonts w:ascii="Cambria"/>
          <w:sz w:val="20"/>
        </w:rPr>
        <w:t>’</w:t>
      </w:r>
      <w:r w:rsidRPr="00BF58AF">
        <w:rPr>
          <w:rFonts w:ascii="Cambria"/>
          <w:sz w:val="20"/>
        </w:rPr>
        <w:t>a Kadar Basinin Durumu Ve 1931 Matbuat Kanunu.</w:t>
      </w:r>
      <w:r w:rsidRPr="00BF58AF">
        <w:rPr>
          <w:rFonts w:ascii="Cambria"/>
          <w:sz w:val="20"/>
        </w:rPr>
        <w:t>”</w:t>
      </w:r>
      <w:r w:rsidRPr="00822B89">
        <w:rPr>
          <w:sz w:val="20"/>
          <w:szCs w:val="20"/>
        </w:rPr>
        <w:fldChar w:fldCharType="end"/>
      </w:r>
      <w:r>
        <w:rPr>
          <w:sz w:val="20"/>
          <w:szCs w:val="20"/>
        </w:rPr>
        <w:t xml:space="preserve"> p.135.</w:t>
      </w:r>
    </w:p>
  </w:footnote>
  <w:footnote w:id="25">
    <w:p w14:paraId="2AA99B7B" w14:textId="77777777" w:rsidR="008D4F0E" w:rsidRPr="006E328E"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{"citationID":"wHfskz6s","properties":{"formattedCitation":"{\\rtf Mardin, \\i J\\uc0\\u246{}n T\\uc0\\u252{}rklerin siyasi fikirleri, 1895-1908\\i0{}.}","plainCitation":"Mardin, Jön Türklerin siyasi fikirleri, 1895-1908."},"citationItems":[{"id":10,"uris":["http://zotero.org/users/1205741/items/EGJZKRBJ"],"uri":["http://zotero.org/users/1205741/items/EGJZKRBJ"],"itemData":{"id":10,"type":"book","title":"Jön Türklerin siyasi fikirleri, 1895-1908","publisher":"İletişim Yayınları","number-of-pages":"262","source":"Google Books","language":"tr","author":[{"family":"Mardin","given":"Şerif"}],"issued":{"date-parts":[["1983"]]}}}],"schema":"https://github.com/citation-style-language/schema/raw/master/csl-citation.json"} </w:instrText>
      </w:r>
      <w:r>
        <w:fldChar w:fldCharType="separate"/>
      </w:r>
      <w:r w:rsidRPr="00857B2F">
        <w:rPr>
          <w:rFonts w:ascii="Cambria"/>
        </w:rPr>
        <w:t xml:space="preserve">Mardin, </w:t>
      </w:r>
      <w:r w:rsidRPr="00857B2F">
        <w:rPr>
          <w:rFonts w:ascii="Cambria"/>
          <w:i/>
          <w:iCs/>
        </w:rPr>
        <w:t>J</w:t>
      </w:r>
      <w:r w:rsidRPr="00857B2F">
        <w:rPr>
          <w:rFonts w:ascii="Cambria"/>
          <w:i/>
          <w:iCs/>
        </w:rPr>
        <w:t>ö</w:t>
      </w:r>
      <w:r w:rsidRPr="00857B2F">
        <w:rPr>
          <w:rFonts w:ascii="Cambria"/>
          <w:i/>
          <w:iCs/>
        </w:rPr>
        <w:t>n T</w:t>
      </w:r>
      <w:r w:rsidRPr="00857B2F">
        <w:rPr>
          <w:rFonts w:ascii="Cambria"/>
          <w:i/>
          <w:iCs/>
        </w:rPr>
        <w:t>ü</w:t>
      </w:r>
      <w:r w:rsidRPr="00857B2F">
        <w:rPr>
          <w:rFonts w:ascii="Cambria"/>
          <w:i/>
          <w:iCs/>
        </w:rPr>
        <w:t>rklerin siyasi fikirleri, 1895-1908</w:t>
      </w:r>
      <w:r w:rsidRPr="00857B2F">
        <w:rPr>
          <w:rFonts w:ascii="Cambria"/>
        </w:rPr>
        <w:t>.</w:t>
      </w:r>
      <w:r>
        <w:fldChar w:fldCharType="end"/>
      </w:r>
    </w:p>
  </w:footnote>
  <w:footnote w:id="26">
    <w:p w14:paraId="47BE7B20" w14:textId="77777777" w:rsidR="008D4F0E" w:rsidRPr="00BE5BFE"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{"citationID":"WDCz0ml4","properties":{"formattedCitation":"{\\rtf Boyar, \\uc0\\u8220{}The Press and the Palace.\\uc0\\u8221{}}","plainCitation":"Boyar, “The Press and the Palace.”"},"citationItems":[{"id":911,"uris":["http://zotero.org/users/1205741/items/I8R3IRN2"],"uri":["http://zotero.org/users/1205741/items/I8R3IRN2"],"itemData":{"id":911,"type":"article-journal","title":"The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BE5BFE">
        <w:rPr>
          <w:rFonts w:ascii="Cambria"/>
        </w:rPr>
        <w:t xml:space="preserve">Boyar, </w:t>
      </w:r>
      <w:r w:rsidRPr="00BE5BFE">
        <w:rPr>
          <w:rFonts w:ascii="Cambria"/>
        </w:rPr>
        <w:t>“</w:t>
      </w:r>
      <w:r w:rsidRPr="00BE5BFE">
        <w:rPr>
          <w:rFonts w:ascii="Cambria"/>
        </w:rPr>
        <w:t>The Press and the Palace.</w:t>
      </w:r>
      <w:r w:rsidRPr="00BE5BFE">
        <w:rPr>
          <w:rFonts w:ascii="Cambria"/>
        </w:rPr>
        <w:t>”</w:t>
      </w:r>
      <w:r>
        <w:fldChar w:fldCharType="end"/>
      </w:r>
      <w:r>
        <w:t xml:space="preserve"> P. 423</w:t>
      </w:r>
    </w:p>
  </w:footnote>
  <w:footnote w:id="27">
    <w:p w14:paraId="7186525D" w14:textId="77777777" w:rsidR="008D4F0E" w:rsidRPr="00CC1229"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{"citationID":"22m89TPQ","properties":{"formattedCitation":"{\\rtf Ibid.; Mazici, \\uc0\\u8220{}1930\\uc0\\u8217{}a Kadar Basinin Durumu Ve 1931 Matbuat Kanunu.\\uc0\\u8221{}}","plainCitation":"Ibid.; Mazici, “1930’a Kadar Basinin Durumu Ve 1931 Matbuat Kanunu.”"},"citationItems":[{"id":911,"uris":["http://zotero.org/users/1205741/items/I8R3IRN2"],"uri":["http://zotero.org/users/1205741/items/I8R3IRN2"],"itemData":{"id":911,"type":"article-journal","title":"The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label":"page"},{"id":909,"uris":["http://zotero.org/users/1205741/items/34FEKRHR"],"uri":["http://zotero.org/users/1205741/items/34FEKRHR"],"itemData":{"id":909,"type":"article-journal","title":"1930'a kadar basinin durumu ve 1931 Matbuat Kanunu","container-title":"Turk Inkilap Tarihi Enstitusu Dergisi","page":"131-54","volume":"18","issue":"November","author":[{"family":"Mazici","given":"Nursen"}],"issued":{"date-parts":[["1996"]]}},"label":"page"}],"schema":"https://github.com/citation-style-language/schema/raw/master/csl-citation.json"} </w:instrText>
      </w:r>
      <w:r>
        <w:fldChar w:fldCharType="separate"/>
      </w:r>
      <w:r w:rsidRPr="00CC1229">
        <w:rPr>
          <w:rFonts w:ascii="Cambria"/>
        </w:rPr>
        <w:t>Ibid</w:t>
      </w:r>
      <w:r>
        <w:t>. p.420</w:t>
      </w:r>
      <w:r w:rsidRPr="00CC1229">
        <w:rPr>
          <w:rFonts w:ascii="Cambria"/>
        </w:rPr>
        <w:t xml:space="preserve">.; Mazici, </w:t>
      </w:r>
      <w:r w:rsidRPr="00CC1229">
        <w:rPr>
          <w:rFonts w:ascii="Cambria"/>
        </w:rPr>
        <w:t>“</w:t>
      </w:r>
      <w:r w:rsidRPr="00CC1229">
        <w:rPr>
          <w:rFonts w:ascii="Cambria"/>
        </w:rPr>
        <w:t>1930</w:t>
      </w:r>
      <w:r w:rsidRPr="00CC1229">
        <w:rPr>
          <w:rFonts w:ascii="Cambria"/>
        </w:rPr>
        <w:t>’</w:t>
      </w:r>
      <w:r w:rsidRPr="00CC1229">
        <w:rPr>
          <w:rFonts w:ascii="Cambria"/>
        </w:rPr>
        <w:t>a Kadar Basinin Durumu Ve 1931 Matbuat Kanunu.</w:t>
      </w:r>
      <w:r w:rsidRPr="00CC1229">
        <w:rPr>
          <w:rFonts w:ascii="Cambria"/>
        </w:rPr>
        <w:t>”</w:t>
      </w:r>
      <w:r>
        <w:fldChar w:fldCharType="end"/>
      </w:r>
      <w:r w:rsidRPr="00F22CAF">
        <w:rPr>
          <w:sz w:val="20"/>
          <w:szCs w:val="20"/>
        </w:rPr>
        <w:t xml:space="preserve"> </w:t>
      </w:r>
      <w:r>
        <w:rPr>
          <w:sz w:val="20"/>
          <w:szCs w:val="20"/>
        </w:rPr>
        <w:t>p.135.</w:t>
      </w:r>
    </w:p>
  </w:footnote>
  <w:footnote w:id="28">
    <w:p w14:paraId="4912AE86" w14:textId="77777777" w:rsidR="008D4F0E" w:rsidRPr="00D768F2"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{"citationID":"2xxlh113","properties":{"formattedCitation":"{\\rtf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fldChar w:fldCharType="separate"/>
      </w:r>
      <w:r w:rsidRPr="00D768F2">
        <w:rPr>
          <w:rFonts w:ascii="Cambria"/>
        </w:rPr>
        <w:t xml:space="preserve">Yalman, </w:t>
      </w:r>
      <w:r w:rsidRPr="00D768F2">
        <w:rPr>
          <w:rFonts w:ascii="Cambria"/>
          <w:i/>
          <w:iCs/>
        </w:rPr>
        <w:t>The Development of Modern Turkey as Measured by Its Press</w:t>
      </w:r>
      <w:r w:rsidRPr="00D768F2">
        <w:rPr>
          <w:rFonts w:ascii="Cambria"/>
        </w:rPr>
        <w:t>.</w:t>
      </w:r>
      <w:r>
        <w:fldChar w:fldCharType="end"/>
      </w:r>
      <w:r>
        <w:t xml:space="preserve"> p.81.</w:t>
      </w:r>
    </w:p>
  </w:footnote>
  <w:footnote w:id="29">
    <w:p w14:paraId="6CBE2484" w14:textId="77777777" w:rsidR="008D4F0E" w:rsidRPr="00822B89" w:rsidRDefault="008D4F0E" w:rsidP="008D4F0E">
      <w:pPr>
        <w:pStyle w:val="FootnoteText"/>
        <w:jc w:val="both"/>
        <w:rPr>
          <w:sz w:val="20"/>
          <w:szCs w:val="20"/>
          <w:lang w:val="en-US"/>
        </w:rPr>
      </w:pPr>
      <w:r w:rsidRPr="00100777">
        <w:rPr>
          <w:rStyle w:val="FootnoteReference"/>
        </w:rPr>
        <w:footnoteRef/>
      </w:r>
      <w:r w:rsidRPr="00822B89">
        <w:rPr>
          <w:sz w:val="20"/>
          <w:szCs w:val="20"/>
        </w:rPr>
        <w:t xml:space="preserve"> </w:t>
      </w:r>
      <w:r w:rsidRPr="00822B89">
        <w:rPr>
          <w:rFonts w:ascii="Cambria"/>
          <w:sz w:val="20"/>
          <w:szCs w:val="20"/>
        </w:rPr>
        <w:t>Mazici,</w:t>
      </w:r>
      <w:r>
        <w:rPr>
          <w:sz w:val="20"/>
          <w:szCs w:val="20"/>
        </w:rPr>
        <w:t>p. 135.</w:t>
      </w:r>
      <w:r w:rsidRPr="00822B89">
        <w:rPr>
          <w:sz w:val="20"/>
          <w:szCs w:val="20"/>
          <w:lang w:val="en-US"/>
        </w:rPr>
        <w:t xml:space="preserve"> </w:t>
      </w:r>
    </w:p>
  </w:footnote>
  <w:footnote w:id="30">
    <w:p w14:paraId="558BD3FD" w14:textId="77777777" w:rsidR="008D4F0E" w:rsidRPr="00284272"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{"citationID":"lh6XhEQX","properties":{"formattedCitation":"{\\rtf Boyar, \\uc0\\u8220{}The Press and the Palace.\\uc0\\u8221{}}","plainCitation":"Boyar, “The Press and the Palace.”"},"citationItems":[{"id":911,"uris":["http://zotero.org/users/1205741/items/I8R3IRN2"],"uri":["http://zotero.org/users/1205741/items/I8R3IRN2"],"itemData":{"id":911,"type":"article-journal","title":"The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CC1229">
        <w:rPr>
          <w:rFonts w:ascii="Cambria"/>
        </w:rPr>
        <w:t xml:space="preserve">Boyar, </w:t>
      </w:r>
      <w:r w:rsidRPr="00CC1229">
        <w:rPr>
          <w:rFonts w:ascii="Cambria"/>
        </w:rPr>
        <w:t>“</w:t>
      </w:r>
      <w:r w:rsidRPr="00CC1229">
        <w:rPr>
          <w:rFonts w:ascii="Cambria"/>
        </w:rPr>
        <w:t>The Press and the Palace.</w:t>
      </w:r>
      <w:r w:rsidRPr="00CC1229">
        <w:rPr>
          <w:rFonts w:ascii="Cambria"/>
        </w:rPr>
        <w:t>”</w:t>
      </w:r>
      <w:r>
        <w:fldChar w:fldCharType="end"/>
      </w:r>
      <w:r>
        <w:t xml:space="preserve"> p.423.</w:t>
      </w:r>
    </w:p>
  </w:footnote>
  <w:footnote w:id="31">
    <w:p w14:paraId="70506A72" w14:textId="77777777" w:rsidR="008D4F0E" w:rsidRPr="00187DDB"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9egNCi1e","properties":{"formattedCitation":"Ibid.","plainCitation":"Ibid."},"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Pr>
          <w:noProof/>
        </w:rPr>
        <w:t>Ibid.</w:t>
      </w:r>
      <w:r>
        <w:fldChar w:fldCharType="end"/>
      </w:r>
      <w:r>
        <w:t xml:space="preserve"> p.425.</w:t>
      </w:r>
    </w:p>
  </w:footnote>
  <w:footnote w:id="32">
    <w:p w14:paraId="581099F0" w14:textId="77777777" w:rsidR="008D4F0E" w:rsidRPr="00037F4C" w:rsidRDefault="008D4F0E" w:rsidP="008D4F0E">
      <w:pPr>
        <w:pStyle w:val="FootnoteText"/>
        <w:jc w:val="both"/>
        <w:rPr>
          <w:lang w:val="en-US"/>
        </w:rPr>
      </w:pPr>
      <w:r w:rsidRPr="00100777">
        <w:rPr>
          <w:rStyle w:val="FootnoteReference"/>
        </w:rPr>
        <w:footnoteRef/>
      </w:r>
      <w:r>
        <w:t xml:space="preserve"> </w:t>
      </w:r>
      <w:r>
        <w:rPr>
          <w:rFonts w:ascii="Baskerville Old Face" w:hAnsi="Baskerville Old Face"/>
          <w:lang w:val="en-US"/>
        </w:rPr>
        <w:t>Although Yalman (</w:t>
      </w:r>
      <w:r>
        <w:rPr>
          <w:rFonts w:ascii="Baskerville Old Face" w:hAnsi="Baskerville Old Face"/>
          <w:lang w:val="en-US"/>
        </w:rPr>
        <w:fldChar w:fldCharType="begin"/>
      </w:r>
      <w:r>
        <w:rPr>
          <w:rFonts w:ascii="Baskerville Old Face" w:hAnsi="Baskerville Old Face"/>
          <w:lang w:val="en-US"/>
        </w:rPr>
        <w:instrText xml:space="preserve"> ADDIN ZOTERO_ITEM CSL_CITATION {"citationID":"qq79zjGa","properties":{"formattedCitation":"{\\rtf Yalman, \\i The Development of Modern Turkey as Measured by Its Press\\i0{}.}","plainCitation":"Yalman, The Development of Modern Turkey as Measured by Its Press."},"citationItems":[{"id":899,"uris":["http://zotero.org/users/1205741/items/W566XCJB"],"uri":["http://zotero.org/users/1205741/items/W566XCJB"],"itemData":{"id":899,"type":"book","title":"The development of modern Turkey as measured by its press","publisher":"New York, Columbia University","number-of-pages":"153","source":"Internet Archive","abstract":"Book digitized by Google from the library of the University of California and uploaded to the Internet Archive by user tpb.; Issued also as thesis (Ph. D.) Columbia University; Bibliography: p. 141-142","URL":"http://archive.org/details/developmentmode00yalmgoog","language":"eng","author":[{"family":"Yalman","given":"Ahmet Emin"}],"issued":{"date-parts":[["1914"]]},"accessed":{"date-parts":[["2013",4,3]]}}}],"schema":"https://github.com/citation-style-language/schema/raw/master/csl-citation.json"} </w:instrText>
      </w:r>
      <w:r>
        <w:rPr>
          <w:rFonts w:ascii="Baskerville Old Face" w:hAnsi="Baskerville Old Face"/>
          <w:lang w:val="en-US"/>
        </w:rPr>
        <w:fldChar w:fldCharType="separate"/>
      </w:r>
      <w:r w:rsidRPr="00944AD4">
        <w:rPr>
          <w:rFonts w:ascii="Baskerville Old Face" w:hAnsi="Baskerville Old Face"/>
        </w:rPr>
        <w:t xml:space="preserve">Yalman, </w:t>
      </w:r>
      <w:r w:rsidRPr="00944AD4">
        <w:rPr>
          <w:rFonts w:ascii="Baskerville Old Face" w:hAnsi="Baskerville Old Face"/>
          <w:i/>
          <w:iCs/>
        </w:rPr>
        <w:t>The Development of Modern Turkey as Measured by Its Press</w:t>
      </w:r>
      <w:r w:rsidRPr="00944AD4">
        <w:rPr>
          <w:rFonts w:ascii="Baskerville Old Face" w:hAnsi="Baskerville Old Face"/>
        </w:rPr>
        <w:t>.</w:t>
      </w:r>
      <w:r>
        <w:rPr>
          <w:rFonts w:ascii="Baskerville Old Face" w:hAnsi="Baskerville Old Face"/>
          <w:lang w:val="en-US"/>
        </w:rPr>
        <w:fldChar w:fldCharType="end"/>
      </w:r>
      <w:r>
        <w:rPr>
          <w:rFonts w:ascii="Baskerville Old Face" w:hAnsi="Baskerville Old Face"/>
          <w:lang w:val="en-US"/>
        </w:rPr>
        <w:t>) reported some fixed amount of monthly salary for journalists, Boyar (2006) did not find archival evidence to substantiate this claim. P. 428.</w:t>
      </w:r>
    </w:p>
  </w:footnote>
  <w:footnote w:id="33">
    <w:p w14:paraId="0FEE7637" w14:textId="77777777" w:rsidR="008D4F0E" w:rsidRPr="00F95CC5"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{"citationID":"7iInnDRD","properties":{"formattedCitation":"{\\rtf Boyar, \\uc0\\u8220{}The Press and the Palace.\\uc0\\u8221{}}","plainCitation":"Boyar, “The Press and the Palace.”"},"citationItems":[{"id":911,"uris":["http://zotero.org/users/1205741/items/I8R3IRN2"],"uri":["http://zotero.org/users/1205741/items/I8R3IRN2"],"itemData":{"id":911,"type":"article-journal","title":"The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sidRPr="00F95CC5">
        <w:rPr>
          <w:rFonts w:ascii="Cambria"/>
        </w:rPr>
        <w:t xml:space="preserve">Boyar, </w:t>
      </w:r>
      <w:r w:rsidRPr="00F95CC5">
        <w:rPr>
          <w:rFonts w:ascii="Cambria"/>
        </w:rPr>
        <w:t>“</w:t>
      </w:r>
      <w:r w:rsidRPr="00F95CC5">
        <w:rPr>
          <w:rFonts w:ascii="Cambria"/>
        </w:rPr>
        <w:t>The Press and the Palace.</w:t>
      </w:r>
      <w:r w:rsidRPr="00F95CC5">
        <w:rPr>
          <w:rFonts w:ascii="Cambria"/>
        </w:rPr>
        <w:t>”</w:t>
      </w:r>
      <w:r>
        <w:fldChar w:fldCharType="end"/>
      </w:r>
      <w:r>
        <w:t xml:space="preserve"> pp.426-32.</w:t>
      </w:r>
    </w:p>
  </w:footnote>
  <w:footnote w:id="34">
    <w:p w14:paraId="4A39D048" w14:textId="77777777" w:rsidR="008D4F0E" w:rsidRPr="00AA50ED" w:rsidRDefault="008D4F0E" w:rsidP="008D4F0E">
      <w:pPr>
        <w:pStyle w:val="FootnoteText"/>
        <w:rPr>
          <w:lang w:val="en-US"/>
        </w:rPr>
      </w:pPr>
      <w:r w:rsidRPr="00100777">
        <w:rPr>
          <w:rStyle w:val="FootnoteReference"/>
        </w:rPr>
        <w:footnoteRef/>
      </w:r>
      <w:r>
        <w:t xml:space="preserve"> </w:t>
      </w:r>
      <w:r>
        <w:fldChar w:fldCharType="begin"/>
      </w:r>
      <w:r>
        <w:instrText xml:space="preserve"> ADDIN ZOTERO_ITEM CSL_CITATION {"citationID":"xFMfhxFz","properties":{"formattedCitation":"Ibid.","plainCitation":"Ibid."},"citationItems":[{"id":911,"uris":["http://zotero.org/users/1205741/items/I8R3IRN2"],"uri":["http://zotero.org/users/1205741/items/I8R3IRN2"],"itemData":{"id":911,"type":"article-journal","title":"The press and the palace: the two-way relationship between Abdülhamid II and the press, 1876-1908","container-title":"Bulletin of the School of Oriental and African Studies, University of London","page":"417–432","source":"Google Scholar","shortTitle":"The press and the palace","author":[{"family":"Boyar","given":"Ebru"}],"issued":{"date-parts":[["2006"]]},"accessed":{"date-parts":[["2013",4,3]]}}}],"schema":"https://github.com/citation-style-language/schema/raw/master/csl-citation.json"} </w:instrText>
      </w:r>
      <w:r>
        <w:fldChar w:fldCharType="separate"/>
      </w:r>
      <w:r>
        <w:rPr>
          <w:rFonts w:ascii="Cambria"/>
        </w:rPr>
        <w:t>Ibid.</w:t>
      </w:r>
      <w:r>
        <w:fldChar w:fldCharType="end"/>
      </w:r>
      <w:r>
        <w:t xml:space="preserve"> p.424.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426BF" w14:textId="77777777" w:rsidR="005510F2" w:rsidRDefault="00472D2B" w:rsidP="005754E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CF12A0" w14:textId="77777777" w:rsidR="005510F2" w:rsidRDefault="00472D2B" w:rsidP="00E6436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58EC2B" w14:textId="77777777" w:rsidR="005510F2" w:rsidRDefault="00472D2B" w:rsidP="005754E7">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690163" w14:textId="77777777" w:rsidR="005510F2" w:rsidRDefault="00472D2B" w:rsidP="00E64360">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3B78C9"/>
    <w:multiLevelType w:val="hybridMultilevel"/>
    <w:tmpl w:val="134CB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B77B1D"/>
    <w:multiLevelType w:val="hybridMultilevel"/>
    <w:tmpl w:val="D706C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D60472"/>
    <w:multiLevelType w:val="hybridMultilevel"/>
    <w:tmpl w:val="89EEF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F0E"/>
    <w:rsid w:val="000952DD"/>
    <w:rsid w:val="002E23A8"/>
    <w:rsid w:val="00472D2B"/>
    <w:rsid w:val="008D4F0E"/>
    <w:rsid w:val="00E03411"/>
    <w:rsid w:val="00E27894"/>
    <w:rsid w:val="00ED148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9C1657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D4F0E"/>
    <w:rPr>
      <w:rFonts w:eastAsiaTheme="minorEastAsi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4F0E"/>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8D4F0E"/>
    <w:pPr>
      <w:spacing w:before="100" w:beforeAutospacing="1" w:after="100" w:afterAutospacing="1"/>
    </w:pPr>
    <w:rPr>
      <w:rFonts w:ascii="Times" w:hAnsi="Times" w:cs="Times New Roman"/>
      <w:sz w:val="20"/>
      <w:szCs w:val="20"/>
      <w:lang w:val="en-US"/>
    </w:rPr>
  </w:style>
  <w:style w:type="character" w:styleId="Strong">
    <w:name w:val="Strong"/>
    <w:basedOn w:val="DefaultParagraphFont"/>
    <w:uiPriority w:val="22"/>
    <w:qFormat/>
    <w:rsid w:val="008D4F0E"/>
    <w:rPr>
      <w:b/>
      <w:bCs/>
    </w:rPr>
  </w:style>
  <w:style w:type="paragraph" w:styleId="FootnoteText">
    <w:name w:val="footnote text"/>
    <w:basedOn w:val="Normal"/>
    <w:link w:val="FootnoteTextChar"/>
    <w:uiPriority w:val="99"/>
    <w:unhideWhenUsed/>
    <w:rsid w:val="008D4F0E"/>
  </w:style>
  <w:style w:type="character" w:customStyle="1" w:styleId="FootnoteTextChar">
    <w:name w:val="Footnote Text Char"/>
    <w:basedOn w:val="DefaultParagraphFont"/>
    <w:link w:val="FootnoteText"/>
    <w:uiPriority w:val="99"/>
    <w:rsid w:val="008D4F0E"/>
    <w:rPr>
      <w:rFonts w:eastAsiaTheme="minorEastAsia"/>
      <w:lang w:val="en-GB"/>
    </w:rPr>
  </w:style>
  <w:style w:type="character" w:styleId="FootnoteReference">
    <w:name w:val="footnote reference"/>
    <w:basedOn w:val="DefaultParagraphFont"/>
    <w:uiPriority w:val="99"/>
    <w:unhideWhenUsed/>
    <w:rsid w:val="008D4F0E"/>
    <w:rPr>
      <w:vertAlign w:val="superscript"/>
    </w:rPr>
  </w:style>
  <w:style w:type="character" w:styleId="Hyperlink">
    <w:name w:val="Hyperlink"/>
    <w:basedOn w:val="DefaultParagraphFont"/>
    <w:uiPriority w:val="99"/>
    <w:semiHidden/>
    <w:unhideWhenUsed/>
    <w:rsid w:val="008D4F0E"/>
    <w:rPr>
      <w:color w:val="0000FF"/>
      <w:u w:val="single"/>
    </w:rPr>
  </w:style>
  <w:style w:type="paragraph" w:styleId="Header">
    <w:name w:val="header"/>
    <w:basedOn w:val="Normal"/>
    <w:link w:val="HeaderChar"/>
    <w:uiPriority w:val="99"/>
    <w:unhideWhenUsed/>
    <w:rsid w:val="008D4F0E"/>
    <w:pPr>
      <w:tabs>
        <w:tab w:val="center" w:pos="4320"/>
        <w:tab w:val="right" w:pos="8640"/>
      </w:tabs>
    </w:pPr>
  </w:style>
  <w:style w:type="character" w:customStyle="1" w:styleId="HeaderChar">
    <w:name w:val="Header Char"/>
    <w:basedOn w:val="DefaultParagraphFont"/>
    <w:link w:val="Header"/>
    <w:uiPriority w:val="99"/>
    <w:rsid w:val="008D4F0E"/>
    <w:rPr>
      <w:rFonts w:eastAsiaTheme="minorEastAsia"/>
      <w:lang w:val="en-GB"/>
    </w:rPr>
  </w:style>
  <w:style w:type="character" w:styleId="PageNumber">
    <w:name w:val="page number"/>
    <w:basedOn w:val="DefaultParagraphFont"/>
    <w:uiPriority w:val="99"/>
    <w:semiHidden/>
    <w:unhideWhenUsed/>
    <w:rsid w:val="008D4F0E"/>
  </w:style>
  <w:style w:type="paragraph" w:styleId="ListParagraph">
    <w:name w:val="List Paragraph"/>
    <w:basedOn w:val="Normal"/>
    <w:uiPriority w:val="34"/>
    <w:qFormat/>
    <w:rsid w:val="008D4F0E"/>
    <w:pPr>
      <w:ind w:left="720"/>
      <w:contextualSpacing/>
    </w:pPr>
  </w:style>
  <w:style w:type="paragraph" w:styleId="BalloonText">
    <w:name w:val="Balloon Text"/>
    <w:basedOn w:val="Normal"/>
    <w:link w:val="BalloonTextChar"/>
    <w:uiPriority w:val="99"/>
    <w:semiHidden/>
    <w:unhideWhenUsed/>
    <w:rsid w:val="008D4F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4F0E"/>
    <w:rPr>
      <w:rFonts w:ascii="Lucida Grande" w:eastAsiaTheme="minorEastAsia" w:hAnsi="Lucida Grande" w:cs="Lucida Grande"/>
      <w:sz w:val="18"/>
      <w:szCs w:val="18"/>
      <w:lang w:val="en-GB"/>
    </w:rPr>
  </w:style>
  <w:style w:type="character" w:styleId="EndnoteReference">
    <w:name w:val="endnote reference"/>
    <w:basedOn w:val="DefaultParagraphFont"/>
    <w:uiPriority w:val="99"/>
    <w:semiHidden/>
    <w:unhideWhenUsed/>
    <w:rsid w:val="008D4F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3709</Words>
  <Characters>21145</Characters>
  <Application>Microsoft Macintosh Word</Application>
  <DocSecurity>0</DocSecurity>
  <Lines>176</Lines>
  <Paragraphs>49</Paragraphs>
  <ScaleCrop>false</ScaleCrop>
  <LinksUpToDate>false</LinksUpToDate>
  <CharactersWithSpaces>24805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BASAK TARAKTAS</dc:creator>
  <cp:keywords/>
  <dc:description/>
  <cp:lastModifiedBy>BASAK TARAKTAS</cp:lastModifiedBy>
  <cp:revision>1</cp:revision>
  <dcterms:created xsi:type="dcterms:W3CDTF">2018-10-11T16:19:00Z</dcterms:created>
  <dcterms:modified xsi:type="dcterms:W3CDTF">2018-10-11T16:24:00Z</dcterms:modified>
</cp:coreProperties>
</file>